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  <w:r w:rsidRPr="005E666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61950" cy="495300"/>
            <wp:effectExtent l="19050" t="0" r="0" b="0"/>
            <wp:docPr id="26" name="Рисунок 9" descr="img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5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РІЖКІВСЬКА  СІЛЬСЬКА  РАДА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Таращанського району</w:t>
      </w: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</w:rPr>
      </w:pPr>
      <w:r w:rsidRPr="005E6667">
        <w:rPr>
          <w:rFonts w:ascii="Times New Roman" w:hAnsi="Times New Roman" w:cs="Times New Roman"/>
          <w:b/>
        </w:rPr>
        <w:t>Київської області</w:t>
      </w:r>
    </w:p>
    <w:p w:rsidR="00F42CC9" w:rsidRPr="005E6667" w:rsidRDefault="00F42CC9" w:rsidP="00F42CC9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</w:rPr>
      </w:pPr>
    </w:p>
    <w:p w:rsidR="00F42CC9" w:rsidRPr="005E6667" w:rsidRDefault="00F42CC9" w:rsidP="00F42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67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F42CC9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4"/>
          <w:szCs w:val="24"/>
          <w:lang w:val="uk-UA"/>
        </w:rPr>
      </w:pP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Про внесення змін до рішення  Ріжківської сільської  ради </w:t>
      </w:r>
      <w:r w:rsidRPr="005D67B3">
        <w:rPr>
          <w:b/>
          <w:color w:val="000000"/>
          <w:spacing w:val="-1"/>
          <w:sz w:val="24"/>
          <w:szCs w:val="24"/>
          <w:lang w:val="uk-UA"/>
        </w:rPr>
        <w:t>від 15.07.2016</w:t>
      </w:r>
    </w:p>
    <w:p w:rsidR="00F42CC9" w:rsidRPr="005D67B3" w:rsidRDefault="00F42CC9" w:rsidP="00F42CC9">
      <w:pPr>
        <w:pStyle w:val="1"/>
        <w:shd w:val="clear" w:color="auto" w:fill="FFFFFF"/>
        <w:tabs>
          <w:tab w:val="left" w:pos="709"/>
        </w:tabs>
        <w:jc w:val="center"/>
        <w:rPr>
          <w:b/>
          <w:color w:val="000000"/>
          <w:spacing w:val="-9"/>
          <w:sz w:val="24"/>
          <w:szCs w:val="24"/>
          <w:lang w:val="uk-UA"/>
        </w:rPr>
      </w:pPr>
      <w:r w:rsidRPr="005D67B3">
        <w:rPr>
          <w:b/>
          <w:color w:val="000000"/>
          <w:spacing w:val="-1"/>
          <w:sz w:val="24"/>
          <w:szCs w:val="24"/>
          <w:lang w:val="uk-UA"/>
        </w:rPr>
        <w:t>№ 78-09-</w:t>
      </w:r>
      <w:r w:rsidRPr="005D67B3">
        <w:rPr>
          <w:b/>
          <w:color w:val="000000"/>
          <w:spacing w:val="-1"/>
          <w:sz w:val="24"/>
          <w:szCs w:val="24"/>
          <w:lang w:val="en-US"/>
        </w:rPr>
        <w:t>VII</w:t>
      </w:r>
      <w:r w:rsidRPr="005D67B3">
        <w:rPr>
          <w:b/>
          <w:color w:val="000000"/>
          <w:spacing w:val="-1"/>
          <w:sz w:val="24"/>
          <w:szCs w:val="24"/>
          <w:lang w:val="uk-UA"/>
        </w:rPr>
        <w:t xml:space="preserve"> </w:t>
      </w:r>
      <w:r w:rsidRPr="005D67B3">
        <w:rPr>
          <w:b/>
          <w:color w:val="000000"/>
          <w:spacing w:val="-11"/>
          <w:w w:val="103"/>
          <w:sz w:val="24"/>
          <w:szCs w:val="24"/>
          <w:lang w:val="uk-UA"/>
        </w:rPr>
        <w:t>«Про місцеві податки та збори</w:t>
      </w:r>
      <w:r w:rsidRPr="005D67B3">
        <w:rPr>
          <w:b/>
          <w:color w:val="000000"/>
          <w:spacing w:val="-9"/>
          <w:sz w:val="24"/>
          <w:szCs w:val="24"/>
          <w:lang w:val="uk-UA"/>
        </w:rPr>
        <w:t xml:space="preserve"> на 2017 рік, ставки акцизного видатку з реалізації суб’єктами господарювання роздрібної торгівлі підакцизних товарів»</w:t>
      </w:r>
    </w:p>
    <w:p w:rsidR="00F42CC9" w:rsidRPr="006B3307" w:rsidRDefault="00F42CC9" w:rsidP="00F42CC9">
      <w:pPr>
        <w:pStyle w:val="StyleWisnow"/>
        <w:spacing w:line="240" w:lineRule="auto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        </w:t>
      </w:r>
      <w:r w:rsidRPr="006B3307">
        <w:rPr>
          <w:color w:val="000000"/>
          <w:sz w:val="22"/>
          <w:szCs w:val="22"/>
        </w:rPr>
        <w:t xml:space="preserve">Враховуючи </w:t>
      </w:r>
      <w:r w:rsidRPr="006B330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bookmarkStart w:id="0" w:name="_GoBack"/>
      <w:bookmarkEnd w:id="0"/>
      <w:r w:rsidRPr="006B3307">
        <w:rPr>
          <w:bCs/>
          <w:color w:val="000000"/>
          <w:sz w:val="22"/>
          <w:szCs w:val="22"/>
        </w:rPr>
        <w:t>Закон України «</w:t>
      </w:r>
      <w:r w:rsidRPr="006B3307">
        <w:rPr>
          <w:sz w:val="22"/>
          <w:szCs w:val="22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 w:rsidRPr="006B3307">
        <w:rPr>
          <w:bCs/>
          <w:color w:val="000000"/>
          <w:sz w:val="22"/>
          <w:szCs w:val="22"/>
        </w:rPr>
        <w:t xml:space="preserve">» 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№</w:t>
      </w:r>
      <w:r w:rsidRPr="006B3307">
        <w:rPr>
          <w:color w:val="545454"/>
          <w:sz w:val="22"/>
          <w:szCs w:val="22"/>
          <w:lang w:eastAsia="uk-UA"/>
        </w:rPr>
        <w:t> </w:t>
      </w:r>
      <w:r w:rsidRPr="006B3307">
        <w:rPr>
          <w:b/>
          <w:bCs/>
          <w:color w:val="6A6A6A"/>
          <w:sz w:val="22"/>
          <w:szCs w:val="22"/>
          <w:lang w:eastAsia="uk-UA"/>
        </w:rPr>
        <w:t>1791</w:t>
      </w:r>
      <w:r w:rsidRPr="006B3307">
        <w:rPr>
          <w:color w:val="545454"/>
          <w:sz w:val="22"/>
          <w:szCs w:val="22"/>
          <w:shd w:val="clear" w:color="auto" w:fill="FFFFFF"/>
          <w:lang w:eastAsia="uk-UA"/>
        </w:rPr>
        <w:t>-VIII</w:t>
      </w:r>
      <w:r w:rsidRPr="006B3307">
        <w:rPr>
          <w:color w:val="000000"/>
          <w:sz w:val="22"/>
          <w:szCs w:val="22"/>
        </w:rPr>
        <w:t> від 20.12.2016 р., керуючись статтями 143, 144  Конституції України,  статтями 7, 8, 10, 12, 14, 265, 266, 267, 268-1, 269-288, 291, 293 Податкового кодексу України, пунктом 24 частини 1 статті 26 Закону України ,,Про місцеве самоврядування в Україні», враховуючи висновки  та рекомендації постій</w:t>
      </w:r>
      <w:r>
        <w:rPr>
          <w:color w:val="000000"/>
          <w:sz w:val="22"/>
          <w:szCs w:val="22"/>
        </w:rPr>
        <w:t xml:space="preserve">ної комісії з питань планування бюджету та </w:t>
      </w:r>
      <w:r w:rsidRPr="006B3307">
        <w:rPr>
          <w:color w:val="000000"/>
          <w:sz w:val="22"/>
          <w:szCs w:val="22"/>
        </w:rPr>
        <w:t xml:space="preserve"> фінансів,</w:t>
      </w:r>
      <w:r>
        <w:rPr>
          <w:color w:val="000000"/>
          <w:sz w:val="22"/>
          <w:szCs w:val="22"/>
        </w:rPr>
        <w:t xml:space="preserve"> законності і правопорядку</w:t>
      </w:r>
      <w:r w:rsidRPr="006B3307">
        <w:rPr>
          <w:color w:val="000000"/>
          <w:sz w:val="22"/>
          <w:szCs w:val="22"/>
        </w:rPr>
        <w:t xml:space="preserve"> сільська  рада</w:t>
      </w:r>
    </w:p>
    <w:p w:rsidR="00F42CC9" w:rsidRPr="00B72292" w:rsidRDefault="00F42CC9" w:rsidP="00F42CC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3BE3">
        <w:rPr>
          <w:rFonts w:ascii="Times New Roman" w:hAnsi="Times New Roman" w:cs="Times New Roman"/>
          <w:color w:val="000000"/>
          <w:sz w:val="24"/>
          <w:szCs w:val="24"/>
        </w:rPr>
        <w:t>В И Р І Ш И Л А:</w:t>
      </w:r>
    </w:p>
    <w:p w:rsidR="00F42CC9" w:rsidRPr="00DB3BE3" w:rsidRDefault="00F42CC9" w:rsidP="00F42CC9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1.Внести зміни до рішення </w:t>
      </w:r>
      <w:r>
        <w:rPr>
          <w:rFonts w:ascii="Times New Roman" w:hAnsi="Times New Roman" w:cs="Times New Roman"/>
          <w:color w:val="000000"/>
        </w:rPr>
        <w:t>Ріжківської</w:t>
      </w:r>
      <w:r w:rsidRPr="00DB3BE3">
        <w:rPr>
          <w:rFonts w:ascii="Times New Roman" w:hAnsi="Times New Roman" w:cs="Times New Roman"/>
          <w:color w:val="000000"/>
        </w:rPr>
        <w:t xml:space="preserve"> сесії сільської  ради № </w:t>
      </w:r>
      <w:r>
        <w:rPr>
          <w:rFonts w:ascii="Times New Roman" w:hAnsi="Times New Roman" w:cs="Times New Roman"/>
          <w:color w:val="000000"/>
        </w:rPr>
        <w:t>78-09-УІІ</w:t>
      </w:r>
      <w:r w:rsidRPr="00DB3BE3">
        <w:rPr>
          <w:rFonts w:ascii="Times New Roman" w:hAnsi="Times New Roman" w:cs="Times New Roman"/>
          <w:color w:val="000000"/>
        </w:rPr>
        <w:t xml:space="preserve"> від </w:t>
      </w:r>
      <w:r>
        <w:rPr>
          <w:rFonts w:ascii="Times New Roman" w:hAnsi="Times New Roman" w:cs="Times New Roman"/>
          <w:color w:val="000000"/>
        </w:rPr>
        <w:t>15</w:t>
      </w:r>
      <w:r w:rsidRPr="00DB3BE3">
        <w:rPr>
          <w:rFonts w:ascii="Times New Roman" w:hAnsi="Times New Roman" w:cs="Times New Roman"/>
          <w:color w:val="000000"/>
        </w:rPr>
        <w:t xml:space="preserve"> липня 2016р. «</w:t>
      </w:r>
      <w:r w:rsidRPr="00DB3BE3">
        <w:rPr>
          <w:rFonts w:ascii="Times New Roman" w:hAnsi="Times New Roman" w:cs="Times New Roman"/>
          <w:bCs/>
          <w:color w:val="000000"/>
        </w:rPr>
        <w:t xml:space="preserve">Про </w:t>
      </w:r>
      <w:r>
        <w:rPr>
          <w:rFonts w:ascii="Times New Roman" w:hAnsi="Times New Roman" w:cs="Times New Roman"/>
          <w:bCs/>
          <w:color w:val="000000"/>
        </w:rPr>
        <w:t>місцеві податки та збори</w:t>
      </w:r>
      <w:r w:rsidRPr="00DB3BE3">
        <w:rPr>
          <w:rFonts w:ascii="Times New Roman" w:hAnsi="Times New Roman" w:cs="Times New Roman"/>
          <w:bCs/>
          <w:color w:val="000000"/>
        </w:rPr>
        <w:t xml:space="preserve"> на 2017 рік,</w:t>
      </w:r>
      <w:r>
        <w:rPr>
          <w:rFonts w:ascii="Times New Roman" w:hAnsi="Times New Roman" w:cs="Times New Roman"/>
          <w:bCs/>
          <w:color w:val="000000"/>
        </w:rPr>
        <w:t xml:space="preserve"> ставки  акцизного видатку з реалізації суб’єктами господарювання роздрібної торгівлі підакцизних товарів"</w:t>
      </w:r>
      <w:r w:rsidRPr="00DB3BE3">
        <w:rPr>
          <w:rFonts w:ascii="Times New Roman" w:hAnsi="Times New Roman" w:cs="Times New Roman"/>
          <w:bCs/>
          <w:color w:val="000000"/>
        </w:rPr>
        <w:t xml:space="preserve"> а саме</w:t>
      </w:r>
      <w:r>
        <w:rPr>
          <w:rFonts w:ascii="Times New Roman" w:hAnsi="Times New Roman" w:cs="Times New Roman"/>
          <w:bCs/>
          <w:color w:val="000000"/>
        </w:rPr>
        <w:t>:</w:t>
      </w:r>
      <w:r w:rsidRPr="00DB3BE3">
        <w:rPr>
          <w:rFonts w:ascii="Times New Roman" w:hAnsi="Times New Roman" w:cs="Times New Roman"/>
          <w:bCs/>
          <w:color w:val="000000"/>
        </w:rPr>
        <w:t xml:space="preserve"> 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1.1. Внести зміни в Додаток 1 « Податок на нерухоме майно, відмінне від земельної ділянки»  Розділ 5 « Ставка податку»  викласти в новій редакції , згідно Додатка 1.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1.2. Внести зміни в Додаток 3 «Земельний податок». Розділ 5, 7  викласти в новій редакції,  згідно Додатка 3</w:t>
      </w:r>
    </w:p>
    <w:p w:rsidR="00F42CC9" w:rsidRPr="00DB3BE3" w:rsidRDefault="00F42CC9" w:rsidP="00F42CC9">
      <w:pPr>
        <w:tabs>
          <w:tab w:val="left" w:pos="720"/>
        </w:tabs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            1.3. Внести зміни в Додаток 5 «</w:t>
      </w:r>
      <w:r>
        <w:rPr>
          <w:rFonts w:ascii="Times New Roman" w:hAnsi="Times New Roman" w:cs="Times New Roman"/>
          <w:color w:val="000000"/>
        </w:rPr>
        <w:t>П</w:t>
      </w:r>
      <w:r w:rsidRPr="00DB3BE3">
        <w:rPr>
          <w:rFonts w:ascii="Times New Roman" w:hAnsi="Times New Roman" w:cs="Times New Roman"/>
          <w:color w:val="000000"/>
        </w:rPr>
        <w:t>ро встановлення ставок єдиного податку» та   викласти в новій редакції,  згідно Додатка 5.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val="ru-RU"/>
        </w:rPr>
      </w:pPr>
      <w:r w:rsidRPr="00DB3BE3">
        <w:rPr>
          <w:rFonts w:ascii="Times New Roman" w:hAnsi="Times New Roman" w:cs="Times New Roman"/>
          <w:color w:val="000000"/>
        </w:rPr>
        <w:t>           2. Всі питання не врегульовані цим рішенням регулюються відповідно до норм Податкового кодексу України та діючих нормативно-правових актів.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  <w:lang w:eastAsia="ru-RU"/>
        </w:rPr>
      </w:pPr>
      <w:r w:rsidRPr="00DB3BE3">
        <w:rPr>
          <w:rFonts w:ascii="Times New Roman" w:hAnsi="Times New Roman" w:cs="Times New Roman"/>
          <w:color w:val="000000"/>
        </w:rPr>
        <w:t>           3.  Рішення набирає чинності з 01.01.2017 року.</w:t>
      </w:r>
    </w:p>
    <w:p w:rsidR="00F42CC9" w:rsidRPr="00DB3BE3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 xml:space="preserve">          4. Виконавчому комітету  </w:t>
      </w:r>
      <w:r>
        <w:rPr>
          <w:rFonts w:ascii="Times New Roman" w:hAnsi="Times New Roman" w:cs="Times New Roman"/>
          <w:color w:val="000000"/>
        </w:rPr>
        <w:t>Ріжківської</w:t>
      </w:r>
      <w:r w:rsidRPr="00DB3BE3">
        <w:rPr>
          <w:rFonts w:ascii="Times New Roman" w:hAnsi="Times New Roman" w:cs="Times New Roman"/>
          <w:color w:val="000000"/>
        </w:rPr>
        <w:t xml:space="preserve"> сільської ради забезпечити направлення копії цього рішення Таращанському відділенні  Білоцерківському ОДПІ ГУ ДФС у Київській  області для  здійснення контролю  за повнотою,правильністю та своєчасністю  сплати місцевих податків та зборів.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  <w:r w:rsidRPr="00DB3BE3">
        <w:rPr>
          <w:rFonts w:ascii="Times New Roman" w:hAnsi="Times New Roman" w:cs="Times New Roman"/>
          <w:color w:val="000000"/>
        </w:rPr>
        <w:t>           5. Контроль за виконанням рішення покласти на  постій</w:t>
      </w:r>
      <w:r>
        <w:rPr>
          <w:rFonts w:ascii="Times New Roman" w:hAnsi="Times New Roman" w:cs="Times New Roman"/>
          <w:color w:val="000000"/>
        </w:rPr>
        <w:t>ну комісію з питань планування бюджету фінансів, законності і правопорядку.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17E5D">
        <w:rPr>
          <w:rFonts w:ascii="Times New Roman" w:hAnsi="Times New Roman" w:cs="Times New Roman"/>
        </w:rPr>
        <w:t>Сільський голова                                             О.М.Мокляк</w:t>
      </w:r>
    </w:p>
    <w:p w:rsidR="00F42CC9" w:rsidRDefault="00F42CC9" w:rsidP="00F42CC9">
      <w:pPr>
        <w:spacing w:after="0"/>
        <w:ind w:right="112"/>
        <w:jc w:val="both"/>
        <w:rPr>
          <w:rFonts w:ascii="Times New Roman" w:hAnsi="Times New Roman" w:cs="Times New Roman"/>
          <w:color w:val="000000"/>
        </w:rPr>
      </w:pPr>
    </w:p>
    <w:p w:rsidR="00F42CC9" w:rsidRPr="00A17E5D" w:rsidRDefault="00F42CC9" w:rsidP="00F42CC9">
      <w:pPr>
        <w:pStyle w:val="1"/>
        <w:shd w:val="clear" w:color="auto" w:fill="FFFFFF"/>
        <w:jc w:val="center"/>
        <w:rPr>
          <w:b/>
          <w:i w:val="0"/>
          <w:color w:val="000000"/>
          <w:spacing w:val="-9"/>
          <w:sz w:val="24"/>
          <w:szCs w:val="24"/>
          <w:lang w:val="uk-UA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 w:rsidRPr="00A17E5D">
        <w:rPr>
          <w:rFonts w:ascii="Times New Roman" w:hAnsi="Times New Roman" w:cs="Times New Roman"/>
        </w:rPr>
        <w:t>с.Ріжки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17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січня</w:t>
      </w:r>
      <w:r w:rsidRPr="00A17E5D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7</w:t>
      </w:r>
      <w:r w:rsidRPr="00A17E5D">
        <w:rPr>
          <w:rFonts w:ascii="Times New Roman" w:hAnsi="Times New Roman" w:cs="Times New Roman"/>
        </w:rPr>
        <w:t xml:space="preserve"> року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  <w:r w:rsidRPr="00A17E5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169</w:t>
      </w:r>
      <w:r w:rsidRPr="00A17E5D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4</w:t>
      </w:r>
      <w:r w:rsidRPr="00A17E5D">
        <w:rPr>
          <w:rFonts w:ascii="Times New Roman" w:hAnsi="Times New Roman" w:cs="Times New Roman"/>
        </w:rPr>
        <w:t>-УІІ</w:t>
      </w: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Pr="00A17E5D" w:rsidRDefault="00F42CC9" w:rsidP="00F42CC9">
      <w:pPr>
        <w:spacing w:after="0"/>
        <w:ind w:left="360"/>
        <w:rPr>
          <w:rFonts w:ascii="Times New Roman" w:hAnsi="Times New Roman" w:cs="Times New Roman"/>
        </w:rPr>
      </w:pPr>
    </w:p>
    <w:p w:rsidR="00F42CC9" w:rsidRDefault="00F42CC9" w:rsidP="00F42CC9">
      <w:pPr>
        <w:rPr>
          <w:sz w:val="24"/>
          <w:szCs w:val="24"/>
        </w:rPr>
      </w:pP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Додаток 1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до рішення </w:t>
      </w:r>
      <w:r w:rsidRPr="00012AD4">
        <w:rPr>
          <w:rFonts w:ascii="Times New Roman" w:hAnsi="Times New Roman"/>
          <w:bCs/>
          <w:sz w:val="24"/>
          <w:szCs w:val="24"/>
          <w:lang w:eastAsia="ru-RU"/>
        </w:rPr>
        <w:t xml:space="preserve"> Ріжківської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сільської ради</w:t>
      </w:r>
    </w:p>
    <w:p w:rsidR="00F42CC9" w:rsidRPr="00A41DD2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>Таращанського району Київської області</w:t>
      </w:r>
    </w:p>
    <w:p w:rsidR="00F42CC9" w:rsidRPr="00D226EB" w:rsidRDefault="00F42CC9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від 15.07.2016 року № 78 –09</w:t>
      </w:r>
      <w:r w:rsidRPr="00A41D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41DD2">
        <w:rPr>
          <w:rFonts w:ascii="Times New Roman" w:hAnsi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Cs/>
          <w:sz w:val="24"/>
          <w:szCs w:val="24"/>
          <w:lang w:eastAsia="ru-RU"/>
        </w:rPr>
        <w:t>І</w:t>
      </w:r>
    </w:p>
    <w:p w:rsidR="00F42CC9" w:rsidRPr="00CF5284" w:rsidRDefault="00F42CC9" w:rsidP="00F42CC9">
      <w:pPr>
        <w:spacing w:after="0" w:line="240" w:lineRule="auto"/>
        <w:ind w:right="-170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34C5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</w:t>
      </w:r>
      <w:r w:rsidRPr="00CF5284">
        <w:rPr>
          <w:rFonts w:ascii="Times New Roman" w:hAnsi="Times New Roman"/>
          <w:b/>
          <w:bCs/>
          <w:sz w:val="27"/>
          <w:szCs w:val="27"/>
          <w:lang w:eastAsia="ru-RU"/>
        </w:rPr>
        <w:t>Податок на нерухоме майно, відмінне від земельної ділянки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1. Платники податку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1.1. Платниками податку є фізичні та юридичні особи,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нерезиденти, які є власниками об'єктів житлової та/або нежитлової нерухомості.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1.2. Визначення платників податку в разі перебування об'єктів житлової та/або нежитлової нерухомості у спільній частковій або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якщо об'єкт житлової та/або нежитлової нерухомості перебуває у спільній частковій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, платником податку є кожна з цих осіб за належну їй частку;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якщо об'єкт житлової та/або нежитлової нерухомості перебуває у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якщо об'єкт житлової та/або нежитлової нерухомості перебуває у спільній сумісній власності кількох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осіб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і поділений між ними в натурі, платником податку є кожна з цих осіб за належну їй частку.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2. Об'єкт оподаткування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2.1. Об'єктом оподаткування є об'єкт житлової та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його частка.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2.2. Не є об'єктом оподаткування: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  <w:proofErr w:type="gram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об'єкти житлової та нежитлової нерухомості, які розташовані в зонах відчуження та безумовного (обов'язкового) відселення, визначені законом,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їх частки;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в)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 дитячих будинків сімейного типу;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г) гуртожитки;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ґ) житлова нерухомість непридатна для проживання, в тому числі у зв'язку з аварійним станом, визнана такою згідно з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ішен</w:t>
      </w:r>
      <w:r>
        <w:rPr>
          <w:rFonts w:ascii="Times New Roman" w:hAnsi="Times New Roman"/>
          <w:sz w:val="24"/>
          <w:szCs w:val="24"/>
          <w:lang w:val="ru-RU" w:eastAsia="ru-RU"/>
        </w:rPr>
        <w:t>ням  Ріжківської сільської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val="ru-RU" w:eastAsia="ru-RU"/>
        </w:rPr>
        <w:t>, або виконкомом с/ради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д) об'єкти житлової нерухомості, в тому числі їх частки, що належать дітям-сиротам, дітям, позбавленим батьківського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е) об'єкти нежитлової нерухомості, які використовуються суб'єктами господарювання малого та середнього бізнесу, що провадять свою діяльність в малих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арх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ітектурних формах та на ринках;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є)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 промисловості, зокрема виробничі корпуси, цехи, складські приміщення промислових підприємств;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ж) буді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з) об'єкти житлової та нежитлової нерухомості, які перебувають у власності громадських організацій інвалідів та їх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ідприємств.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3. База оподаткування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3.1. Базою оподаткування є загальна площа об'єкта житлової та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його часток.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3.2. База оподаткування об'єктів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ідповідних документів платника податків, зокрема документі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на право власності.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3.3. 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об'єкта оподаткування на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ідставі документів, що підтверджують право власності на такий об'єкт.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 xml:space="preserve">4. </w:t>
      </w:r>
      <w:proofErr w:type="gramStart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П</w:t>
      </w:r>
      <w:proofErr w:type="gramEnd"/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ільги із сплати податку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4.1. База оподаткування об'єкта/об'єктів 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тому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числі їх часток, що перебувають у власності фізичної особи платника податку, зменшується: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а) для квартири/квартир незалежно від ї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кількості - на </w:t>
      </w:r>
      <w:smartTag w:uri="urn:schemas-microsoft-com:office:smarttags" w:element="metricconverter">
        <w:smartTagPr>
          <w:attr w:name="ProductID" w:val="6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60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б) для житлового будинку/будинків незалежно від ї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х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кількості - на </w:t>
      </w:r>
      <w:smartTag w:uri="urn:schemas-microsoft-com:office:smarttags" w:element="metricconverter">
        <w:smartTagPr>
          <w:attr w:name="ProductID" w:val="12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120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для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</w:r>
      <w:smartTag w:uri="urn:schemas-microsoft-com:office:smarttags" w:element="metricconverter">
        <w:smartTagPr>
          <w:attr w:name="ProductID" w:val="180 кв. метрів"/>
        </w:smartTagPr>
        <w:r w:rsidRPr="004D276B">
          <w:rPr>
            <w:rFonts w:ascii="Times New Roman" w:hAnsi="Times New Roman"/>
            <w:sz w:val="24"/>
            <w:szCs w:val="24"/>
            <w:lang w:val="ru-RU" w:eastAsia="ru-RU"/>
          </w:rPr>
          <w:t>180 кв. метрів</w:t>
        </w:r>
      </w:smartTag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843B48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Таке зменшення надається один раз за кожний базовий податковий (звітний) період (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ік).</w:t>
      </w:r>
    </w:p>
    <w:p w:rsidR="00F42CC9" w:rsidRPr="000103D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ільга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податк</w:t>
      </w:r>
      <w:r>
        <w:rPr>
          <w:rFonts w:ascii="Times New Roman" w:hAnsi="Times New Roman"/>
          <w:sz w:val="24"/>
          <w:szCs w:val="24"/>
          <w:lang w:val="ru-RU" w:eastAsia="ru-RU"/>
        </w:rPr>
        <w:t>у, що сплачується на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території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Ріжківської сільської ради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з об'єктів житлової та/або нежитлової нерухомості, що перебувають у власності, релігійних організацій України, статути (положення) як</w:t>
      </w:r>
      <w:r>
        <w:rPr>
          <w:rFonts w:ascii="Times New Roman" w:hAnsi="Times New Roman"/>
          <w:sz w:val="24"/>
          <w:szCs w:val="24"/>
          <w:lang w:val="ru-RU" w:eastAsia="ru-RU"/>
        </w:rPr>
        <w:t>их зареєстровані у в</w:t>
      </w:r>
      <w:r w:rsidRPr="00843B48">
        <w:rPr>
          <w:rFonts w:ascii="Times New Roman" w:hAnsi="Times New Roman"/>
          <w:sz w:val="24"/>
          <w:szCs w:val="24"/>
          <w:lang w:val="ru-RU" w:eastAsia="ru-RU"/>
        </w:rPr>
        <w:t>становленому  законом  порядку,  та  використовуються  для  забезпечення  діяльності,  передбаченої  такими  статутами.</w:t>
      </w:r>
    </w:p>
    <w:p w:rsidR="00F42CC9" w:rsidRPr="00843B48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48">
        <w:rPr>
          <w:rFonts w:ascii="Times New Roman" w:hAnsi="Times New Roman"/>
          <w:sz w:val="24"/>
          <w:szCs w:val="24"/>
          <w:lang w:eastAsia="ru-RU"/>
        </w:rPr>
        <w:t xml:space="preserve">     Пільги з податку, що сплачується на території Ріжківської сільської ради з об'єктів житлової нерухомості, для фізичних осіб не надаються на:</w:t>
      </w:r>
    </w:p>
    <w:p w:rsidR="00F42CC9" w:rsidRPr="00CF5284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84">
        <w:rPr>
          <w:rFonts w:ascii="Times New Roman" w:hAnsi="Times New Roman"/>
          <w:sz w:val="24"/>
          <w:szCs w:val="24"/>
          <w:lang w:eastAsia="ru-RU"/>
        </w:rPr>
        <w:t>а) об'єкт/об'єкти оподаткування, якщо площа такого/таких об'єкта/об'єктів перевищує п'ятикратний розмір неоподатковуваної площі, затвердженої рішенням сільської  ради;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об'єкти оподаткування, що використовуються їх власниками з метою одержання доходів (здаються в оренду, лізинг, позичку, використовуються у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ідприємницькій діяльності).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Д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 1 лютого поточного року </w:t>
      </w:r>
      <w:r>
        <w:rPr>
          <w:rFonts w:ascii="Times New Roman" w:hAnsi="Times New Roman"/>
          <w:sz w:val="24"/>
          <w:szCs w:val="24"/>
          <w:lang w:val="ru-RU" w:eastAsia="ru-RU"/>
        </w:rPr>
        <w:t>сільська  рада подає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до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відповідного контролюючого органу за місцезнаходженням об'єкта житлової нерухомості відомості стосовно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ільг, наданих відповідно до абзацу першого та другого цього підпункту.</w:t>
      </w:r>
    </w:p>
    <w:p w:rsidR="00F42CC9" w:rsidRDefault="00F42CC9" w:rsidP="00F42CC9">
      <w:pPr>
        <w:spacing w:after="0" w:line="240" w:lineRule="auto"/>
        <w:jc w:val="both"/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5. Ставка податку:</w:t>
      </w:r>
      <w:r w:rsidRPr="00A44044">
        <w:t xml:space="preserve"> </w:t>
      </w:r>
    </w:p>
    <w:p w:rsidR="00F42CC9" w:rsidRPr="00A44044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На б</w:t>
      </w:r>
      <w:r w:rsidRPr="00A44044">
        <w:rPr>
          <w:rFonts w:ascii="Times New Roman" w:hAnsi="Times New Roman"/>
          <w:sz w:val="24"/>
          <w:szCs w:val="24"/>
        </w:rPr>
        <w:t xml:space="preserve">удівлі, віднесені до житлового фонду, відповідно до </w:t>
      </w:r>
      <w:r>
        <w:rPr>
          <w:rFonts w:ascii="Times New Roman" w:hAnsi="Times New Roman"/>
          <w:sz w:val="24"/>
          <w:szCs w:val="24"/>
        </w:rPr>
        <w:t>ст.14.1.129.Подадкового кодексу в розмірі</w:t>
      </w:r>
      <w:r w:rsidRPr="00A44044">
        <w:rPr>
          <w:rFonts w:ascii="Times New Roman" w:hAnsi="Times New Roman"/>
          <w:sz w:val="24"/>
          <w:szCs w:val="24"/>
        </w:rPr>
        <w:t xml:space="preserve"> – </w:t>
      </w:r>
      <w:r w:rsidRPr="0037713E">
        <w:rPr>
          <w:rFonts w:ascii="Times New Roman" w:hAnsi="Times New Roman"/>
          <w:color w:val="C00000"/>
          <w:sz w:val="24"/>
          <w:szCs w:val="24"/>
        </w:rPr>
        <w:t>0,05</w:t>
      </w:r>
      <w:r w:rsidRPr="00A44044">
        <w:rPr>
          <w:rFonts w:ascii="Times New Roman" w:hAnsi="Times New Roman"/>
          <w:sz w:val="24"/>
          <w:szCs w:val="24"/>
        </w:rPr>
        <w:t xml:space="preserve"> % від мінімальної заробітної плати</w:t>
      </w:r>
      <w:r>
        <w:rPr>
          <w:rFonts w:ascii="Times New Roman" w:hAnsi="Times New Roman"/>
          <w:sz w:val="24"/>
          <w:szCs w:val="24"/>
        </w:rPr>
        <w:t>, встановленої на 01 січня 2017 року</w:t>
      </w:r>
      <w:r w:rsidR="0037713E">
        <w:rPr>
          <w:rFonts w:ascii="Times New Roman" w:hAnsi="Times New Roman"/>
          <w:sz w:val="24"/>
          <w:szCs w:val="24"/>
        </w:rPr>
        <w:t xml:space="preserve">,  на будівлі, віднесені до житлового фонду, що належать юридичним особам в розмірі </w:t>
      </w:r>
      <w:r w:rsidR="0037713E" w:rsidRPr="0037713E">
        <w:rPr>
          <w:rFonts w:ascii="Times New Roman" w:hAnsi="Times New Roman"/>
          <w:color w:val="C00000"/>
          <w:sz w:val="24"/>
          <w:szCs w:val="24"/>
        </w:rPr>
        <w:t>0,1</w:t>
      </w:r>
      <w:r w:rsidR="0037713E">
        <w:rPr>
          <w:rFonts w:ascii="Times New Roman" w:hAnsi="Times New Roman"/>
          <w:sz w:val="24"/>
          <w:szCs w:val="24"/>
        </w:rPr>
        <w:t xml:space="preserve"> % від мінімальної заробітної плати, встановленої  на 01 січня 2017 року.</w:t>
      </w:r>
    </w:p>
    <w:p w:rsidR="00F42CC9" w:rsidRPr="00A44044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4044">
        <w:rPr>
          <w:rFonts w:ascii="Times New Roman" w:hAnsi="Times New Roman"/>
          <w:sz w:val="24"/>
          <w:szCs w:val="24"/>
        </w:rPr>
        <w:t>5.2. Обєкти нежитлової нерухомості – будівлі, приміщення,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 xml:space="preserve">не віднесені відповідно </w:t>
      </w:r>
      <w:r w:rsidRPr="00A44044">
        <w:rPr>
          <w:sz w:val="24"/>
          <w:szCs w:val="24"/>
        </w:rPr>
        <w:t xml:space="preserve"> </w:t>
      </w:r>
      <w:r w:rsidRPr="00A44044">
        <w:rPr>
          <w:rFonts w:ascii="Times New Roman" w:hAnsi="Times New Roman"/>
          <w:sz w:val="24"/>
          <w:szCs w:val="24"/>
        </w:rPr>
        <w:t>до законодавства до житлового фонду:</w:t>
      </w: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4370">
        <w:rPr>
          <w:rFonts w:ascii="Times New Roman" w:hAnsi="Times New Roman"/>
          <w:sz w:val="24"/>
          <w:szCs w:val="24"/>
        </w:rPr>
        <w:t>а) будівлі готельні – готелі, мотелі, кемпінги, пансіонати, ресторани та бари, туристичні бази, гірські притулки, табори для відпочинку, будинки відпочинку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– </w:t>
      </w:r>
      <w:r w:rsidR="0037713E" w:rsidRPr="0037713E">
        <w:rPr>
          <w:rFonts w:ascii="Times New Roman" w:hAnsi="Times New Roman"/>
          <w:sz w:val="24"/>
          <w:szCs w:val="24"/>
        </w:rPr>
        <w:t>1</w:t>
      </w:r>
      <w:r w:rsidRPr="00154370">
        <w:rPr>
          <w:rFonts w:ascii="Times New Roman" w:hAnsi="Times New Roman"/>
          <w:sz w:val="24"/>
          <w:szCs w:val="24"/>
        </w:rPr>
        <w:t>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б) будівлі офісні – будівлі фінансового обслуговування,  адміністративно – побутові будівлі, будівлі для конторських та адміністративних цілей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</w:t>
      </w:r>
      <w:r w:rsidR="0037713E">
        <w:rPr>
          <w:rFonts w:ascii="Times New Roman" w:hAnsi="Times New Roman"/>
          <w:sz w:val="24"/>
          <w:szCs w:val="24"/>
        </w:rPr>
        <w:t>–</w:t>
      </w:r>
      <w:r w:rsidRPr="00154370">
        <w:rPr>
          <w:rFonts w:ascii="Times New Roman" w:hAnsi="Times New Roman"/>
          <w:sz w:val="24"/>
          <w:szCs w:val="24"/>
        </w:rPr>
        <w:t xml:space="preserve"> </w:t>
      </w:r>
      <w:r w:rsidR="0037713E" w:rsidRPr="0037713E">
        <w:rPr>
          <w:rFonts w:ascii="Times New Roman" w:hAnsi="Times New Roman"/>
          <w:color w:val="C00000"/>
          <w:sz w:val="24"/>
          <w:szCs w:val="24"/>
        </w:rPr>
        <w:t>0.5</w:t>
      </w:r>
      <w:r w:rsidRPr="00154370">
        <w:rPr>
          <w:rFonts w:ascii="Times New Roman" w:hAnsi="Times New Roman"/>
          <w:sz w:val="24"/>
          <w:szCs w:val="24"/>
        </w:rPr>
        <w:t>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>в) будівлі торговельні – торгові центри, універмаги, магазини, криті ринки, павільйон та зали для ярмарків, 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0,</w:t>
      </w:r>
      <w:r w:rsidRPr="00154370">
        <w:rPr>
          <w:rFonts w:ascii="Times New Roman" w:hAnsi="Times New Roman"/>
          <w:sz w:val="24"/>
          <w:szCs w:val="24"/>
        </w:rPr>
        <w:t>1%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370">
        <w:rPr>
          <w:rFonts w:ascii="Times New Roman" w:hAnsi="Times New Roman"/>
          <w:sz w:val="24"/>
          <w:szCs w:val="24"/>
        </w:rPr>
        <w:t xml:space="preserve">г) гаражі – гаражі (наземні й підземні) та криті автомобільні стоянки </w:t>
      </w:r>
      <w:r>
        <w:rPr>
          <w:rFonts w:ascii="Times New Roman" w:hAnsi="Times New Roman"/>
          <w:sz w:val="24"/>
          <w:szCs w:val="24"/>
        </w:rPr>
        <w:t xml:space="preserve">в розмірі </w:t>
      </w:r>
      <w:r w:rsidR="0091526B">
        <w:rPr>
          <w:rFonts w:ascii="Times New Roman" w:hAnsi="Times New Roman"/>
          <w:sz w:val="24"/>
          <w:szCs w:val="24"/>
        </w:rPr>
        <w:t>–</w:t>
      </w:r>
      <w:r w:rsidRPr="00154370">
        <w:rPr>
          <w:rFonts w:ascii="Times New Roman" w:hAnsi="Times New Roman"/>
          <w:sz w:val="24"/>
          <w:szCs w:val="24"/>
        </w:rPr>
        <w:t xml:space="preserve"> </w:t>
      </w:r>
      <w:r w:rsidR="0091526B" w:rsidRPr="0091526B">
        <w:rPr>
          <w:rFonts w:ascii="Times New Roman" w:hAnsi="Times New Roman"/>
          <w:color w:val="C00000"/>
          <w:sz w:val="24"/>
          <w:szCs w:val="24"/>
        </w:rPr>
        <w:t>0,5</w:t>
      </w:r>
      <w:r w:rsidRPr="00154370">
        <w:rPr>
          <w:rFonts w:ascii="Times New Roman" w:hAnsi="Times New Roman"/>
          <w:sz w:val="24"/>
          <w:szCs w:val="24"/>
        </w:rPr>
        <w:t xml:space="preserve">% від мінімальної заробітної плати, </w:t>
      </w:r>
      <w:r>
        <w:rPr>
          <w:rFonts w:ascii="Times New Roman" w:hAnsi="Times New Roman"/>
          <w:sz w:val="24"/>
          <w:szCs w:val="24"/>
        </w:rPr>
        <w:t xml:space="preserve">встановленої на 01.01.2017 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4370">
        <w:rPr>
          <w:rFonts w:ascii="Times New Roman" w:hAnsi="Times New Roman"/>
          <w:sz w:val="24"/>
          <w:szCs w:val="24"/>
        </w:rPr>
        <w:t>) господарські (присадибні) будівлі – допоміжні (нежитлові) приміщення, до яких належать сараї, хліви, гаражі, літні кухні, майстерні, вбиральні, погреби, навіси, котельні, бойлерні трансформаторні підстанції, тощо</w:t>
      </w:r>
      <w:r>
        <w:rPr>
          <w:rFonts w:ascii="Times New Roman" w:hAnsi="Times New Roman"/>
          <w:sz w:val="24"/>
          <w:szCs w:val="24"/>
        </w:rPr>
        <w:t xml:space="preserve"> в розмірі</w:t>
      </w:r>
      <w:r w:rsidRPr="00154370">
        <w:rPr>
          <w:rFonts w:ascii="Times New Roman" w:hAnsi="Times New Roman"/>
          <w:sz w:val="24"/>
          <w:szCs w:val="24"/>
        </w:rPr>
        <w:t xml:space="preserve"> – 0 % від мінімальної заробітної п</w:t>
      </w:r>
      <w:r>
        <w:rPr>
          <w:rFonts w:ascii="Times New Roman" w:hAnsi="Times New Roman"/>
          <w:sz w:val="24"/>
          <w:szCs w:val="24"/>
        </w:rPr>
        <w:t>лати, встановленої на 01.01.2017</w:t>
      </w:r>
      <w:r w:rsidRPr="00154370">
        <w:rPr>
          <w:rFonts w:ascii="Times New Roman" w:hAnsi="Times New Roman"/>
          <w:sz w:val="24"/>
          <w:szCs w:val="24"/>
        </w:rPr>
        <w:t xml:space="preserve"> року.</w:t>
      </w:r>
    </w:p>
    <w:p w:rsidR="00F42CC9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є)  інші будівлі – 0,1</w:t>
      </w:r>
      <w:r w:rsidRPr="00154370">
        <w:rPr>
          <w:rFonts w:ascii="Times New Roman" w:hAnsi="Times New Roman"/>
          <w:sz w:val="24"/>
          <w:szCs w:val="24"/>
        </w:rPr>
        <w:t xml:space="preserve"> % від мінімальної заробітної плати, </w:t>
      </w:r>
      <w:r>
        <w:rPr>
          <w:rFonts w:ascii="Times New Roman" w:hAnsi="Times New Roman"/>
          <w:sz w:val="24"/>
          <w:szCs w:val="24"/>
        </w:rPr>
        <w:t>встановленої на 01.01.2017 року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42CC9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е)  будівлі, зокрема корпуси, цехи сладські приміщення, тощо, які належать субєктам господарювання, які використовують працю найманих працівників 3 Х і більше працівників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розмірі – </w:t>
      </w:r>
      <w:r w:rsidRPr="0091526B">
        <w:rPr>
          <w:rFonts w:ascii="Times New Roman" w:hAnsi="Times New Roman"/>
          <w:color w:val="C00000"/>
          <w:sz w:val="24"/>
          <w:szCs w:val="24"/>
          <w:lang w:val="ru-RU"/>
        </w:rPr>
        <w:t>0,1</w:t>
      </w:r>
      <w:r>
        <w:rPr>
          <w:rFonts w:ascii="Times New Roman" w:hAnsi="Times New Roman"/>
          <w:sz w:val="24"/>
          <w:szCs w:val="24"/>
          <w:lang w:val="ru-RU"/>
        </w:rPr>
        <w:t>% від мінімальної  заробітної плати, встановленої  на  01.01.2017 року.</w:t>
      </w:r>
    </w:p>
    <w:p w:rsidR="00AC0CE1" w:rsidRDefault="00292B42" w:rsidP="00AC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</w:t>
      </w:r>
      <w:r w:rsidR="00AC0CE1">
        <w:rPr>
          <w:rFonts w:ascii="Times New Roman" w:hAnsi="Times New Roman"/>
          <w:sz w:val="24"/>
          <w:szCs w:val="24"/>
          <w:lang w:val="ru-RU" w:eastAsia="ru-RU"/>
        </w:rPr>
        <w:t xml:space="preserve">) об'єкти </w:t>
      </w:r>
      <w:proofErr w:type="gramStart"/>
      <w:r w:rsidR="00AC0CE1" w:rsidRPr="004D276B">
        <w:rPr>
          <w:rFonts w:ascii="Times New Roman" w:hAnsi="Times New Roman"/>
          <w:sz w:val="24"/>
          <w:szCs w:val="24"/>
          <w:lang w:val="ru-RU" w:eastAsia="ru-RU"/>
        </w:rPr>
        <w:t>рел</w:t>
      </w:r>
      <w:proofErr w:type="gramEnd"/>
      <w:r w:rsidR="00AC0CE1" w:rsidRPr="004D276B">
        <w:rPr>
          <w:rFonts w:ascii="Times New Roman" w:hAnsi="Times New Roman"/>
          <w:sz w:val="24"/>
          <w:szCs w:val="24"/>
          <w:lang w:val="ru-RU" w:eastAsia="ru-RU"/>
        </w:rPr>
        <w:t>ігійних організацій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</w:r>
      <w:r w:rsidR="00AC0CE1">
        <w:rPr>
          <w:rFonts w:ascii="Times New Roman" w:hAnsi="Times New Roman"/>
          <w:sz w:val="24"/>
          <w:szCs w:val="24"/>
          <w:lang w:val="ru-RU" w:eastAsia="ru-RU"/>
        </w:rPr>
        <w:t xml:space="preserve"> – в розмірі </w:t>
      </w:r>
      <w:r w:rsidR="00AC0CE1" w:rsidRPr="00154370">
        <w:rPr>
          <w:rFonts w:ascii="Times New Roman" w:hAnsi="Times New Roman"/>
          <w:sz w:val="24"/>
          <w:szCs w:val="24"/>
        </w:rPr>
        <w:t>0 % від мінімальної заробітної плати</w:t>
      </w:r>
      <w:r w:rsidR="00AC0CE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C0CE1" w:rsidRPr="004D276B" w:rsidRDefault="00AC0CE1" w:rsidP="00AC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ільги з податку, що сплачується на </w:t>
      </w:r>
      <w:r>
        <w:rPr>
          <w:rFonts w:ascii="Times New Roman" w:hAnsi="Times New Roman"/>
          <w:sz w:val="24"/>
          <w:szCs w:val="24"/>
          <w:lang w:val="ru-RU" w:eastAsia="ru-RU"/>
        </w:rPr>
        <w:t>те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риторії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Лучанської сільської ради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 об'єктів житлової нерухомості, для фізичних осіб не надаються на:</w:t>
      </w:r>
    </w:p>
    <w:p w:rsidR="00AC0CE1" w:rsidRPr="004D276B" w:rsidRDefault="00AC0CE1" w:rsidP="00AC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а)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об'єкти оподаткування, якщо площа таких об'єктів перевищує п'ятикратний розмі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неоподатковуваної площі, затвердженої рішенням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сільської  ради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C0CE1" w:rsidRPr="004D276B" w:rsidRDefault="00AC0CE1" w:rsidP="00AC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об'єкти оподаткування, що використовуються їх власниками з метою одержання доходів (здаються в оренду, лізинг, позичку, використовуються у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ідприємницькій діяльності).</w:t>
      </w:r>
    </w:p>
    <w:p w:rsidR="00AC0CE1" w:rsidRDefault="00AC0CE1" w:rsidP="00AC0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Д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 1 лютого поточного року </w:t>
      </w:r>
      <w:r>
        <w:rPr>
          <w:rFonts w:ascii="Times New Roman" w:hAnsi="Times New Roman"/>
          <w:sz w:val="24"/>
          <w:szCs w:val="24"/>
          <w:lang w:val="ru-RU" w:eastAsia="ru-RU"/>
        </w:rPr>
        <w:t>сільська  рада подає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до відповідного контролюючого органу за місцезнаходженням об'єкта житлової нерухомості відомості сто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совно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ільг, наданих відповідно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до абзацу пер</w:t>
      </w:r>
      <w:r>
        <w:rPr>
          <w:rFonts w:ascii="Times New Roman" w:hAnsi="Times New Roman"/>
          <w:sz w:val="24"/>
          <w:szCs w:val="24"/>
          <w:lang w:val="ru-RU" w:eastAsia="ru-RU"/>
        </w:rPr>
        <w:t>шого та другого цього підпункту</w:t>
      </w:r>
    </w:p>
    <w:p w:rsidR="00F42CC9" w:rsidRDefault="00F42CC9" w:rsidP="00F42CC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2CC9" w:rsidRPr="00154370" w:rsidRDefault="00F42CC9" w:rsidP="00F42CC9">
      <w:pPr>
        <w:spacing w:after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6. Податковий період</w:t>
      </w: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6.1. Базовий податковий (звітний) період дорівнює календарному року.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7. Порядок обчислення суми податку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7.1. Обчислення суми податку з об'єкта/об'єктів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такому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порядку: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а) за наявності у власності платника податку одного об'єкта житлової нерухомості, в тому числі його частки, податок обчислюється, виходячи з бази оподаткування, зменшеної відповідно до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ідпунктів "а" або "б" п</w:t>
      </w:r>
      <w:r>
        <w:rPr>
          <w:rFonts w:ascii="Times New Roman" w:hAnsi="Times New Roman"/>
          <w:sz w:val="24"/>
          <w:szCs w:val="24"/>
          <w:lang w:val="ru-RU" w:eastAsia="ru-RU"/>
        </w:rPr>
        <w:t>ідпункту 4.1 пункту 4 цієї цього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, та пільги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встановленої сільською радою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 неоподатковуваної площі таких об'єктів (у разі її встановлення) та відповідної ставки податку;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б) за наявності у власності платника податку більше одного об'єкта житлової нерухомості одного типу, в тому числі їх часток, податок обчислюється виходячи із сумарної загальної площі таких об'єктів зменшеної відповідно до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</w:t>
      </w:r>
      <w:r>
        <w:rPr>
          <w:rFonts w:ascii="Times New Roman" w:hAnsi="Times New Roman"/>
          <w:sz w:val="24"/>
          <w:szCs w:val="24"/>
          <w:lang w:val="ru-RU" w:eastAsia="ru-RU"/>
        </w:rPr>
        <w:t>нктів "а" або "б" підпункту 4.1 пункту 4 цого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та пільги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встановленої  сільською радою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з неоподатковуваної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площі таких об'єктів (у разі її встановлення), та відповідної ставки податку;</w:t>
      </w:r>
      <w:proofErr w:type="gram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в) за наявності у власності платника податку об'єктів житлової нерухомості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ізних видів, у тому числі їх часток, податок обчислюється виходячи із сумарної загальної площі таких об'єктів, зменшеної відповідно до підпункту "в" підпункту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4.1 пункту 4 цього додатку та пільги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 неоподатковуваної площі таких об'єктів (у разі її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с\радою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), та відповідної ставки податку;</w:t>
      </w:r>
      <w:proofErr w:type="gram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г) сума податку, обчислена з урахуванням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ідпунктів 2 і 3 цього підпункту, розподіляється контролюючим органом пропорційно до питомої ваги загальної площі кожного з об'єктів житлової нерухомості.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Обчислення суми податку з об'єкта/об'єктів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об'єктів нежитлової нерухомості та відповідної ставки податку.</w:t>
      </w:r>
      <w:proofErr w:type="gramEnd"/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7.2. Податкове/податкові повідомлення-рішення про сплату суми/сум податку, обч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исленого згідно з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ідпунктом 7.1 пункту 7 цього додатку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,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 контролюючим органом за місцем його податкової адреси (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ісцем реєстрації) до 1 липня року, що настає за базовим податковим (звітним) періодом (роком).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Щодо новоствореного (нововведеного) об'єкта житлової та/або нежитлової нерухомості податок сплачується фізичною особою-платником починаючи з місяця, в якому виникло право власності на такий об'єкт.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Контролюючі органи за місцем проживання (реєстрації) платників податку в десятиденний строк інформують відповідні контролюючі органи за місцезнаходженням об'єктів житлової та/або нежитлової нерухомості про наді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слан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 (вручені) платнику податку податкові повідомлення-рішення про сплату податку у порядку, встановленому центральним органом виконавчої влади, що забезпечує формування та реалізує державну податкову і митну політику.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місцезнаходженням об'єктів житлової та/або нежитлової нерухомості, що перебувають у власності таких нерезиденті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7.3. Платники податку мають право звернутися з письмов</w:t>
      </w:r>
      <w:r>
        <w:rPr>
          <w:rFonts w:ascii="Times New Roman" w:hAnsi="Times New Roman"/>
          <w:sz w:val="24"/>
          <w:szCs w:val="24"/>
          <w:lang w:val="ru-RU" w:eastAsia="ru-RU"/>
        </w:rPr>
        <w:t>ою заявою до контролюючого органу за місцем проживанн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реєстрації)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для проведення звірки даних щодо: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об'єктів житлової та/або нежитлової нерухомості,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тому числі їх часток, що перебувають у власності платника податку;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розміру загальної площі об'єктів житлової та/або нежитлової нерухомості, що перебувають у власності платника податку;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права на користування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ільгою із сплати податку;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розміру ставки податку;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нарахованої суми податку.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У разі виявлення розбіжностей між даними контролюючих органів та даними, підтвердженими платником податку на підставі оригіналів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ідповідних документів, зокрема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документів на право власності, контролюючий орган за  місцем проживання(реєстрації) платника податку,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проводить перерахунок суми податку і надсилає (вручає) йому нове податкове повідомлення-рішення. Попереднє податкове повідомлення-рішення вважається скасованим (відкликаним).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7.4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порядку, передбаченому статтею 46 цього Кодексу, з розбивкою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ічної суми рівними частками поквартально.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Щодо новоствореного (нововведеного) об'єкта житлової та/або нежитлової нерухомості декларація юридичною особою - платником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подається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протягом 30 календарних днів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8. Порядок обчислення сум податку в разі зміни власника об'єкта оподаткування податком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8.1.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У разі переходу права власності на об'єкт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він втратив право власності на зазначений об'єкт оподаткування, а для нового власника - починаючи з місяця, в якому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виникло право власності.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8.2. Контролюючий орган надсилає податкове повідомлення-рішення новому власнику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ісля отримання інформації про перехід права власності.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9. Порядок сплати податку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9.1. Податок сплачується за місцем розташування об'єкта/об'єктів оподаткування і зараховується до відповідного бюджету згідно з положеннями </w:t>
      </w:r>
      <w:proofErr w:type="gramStart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>Бюджетного</w:t>
      </w:r>
      <w:proofErr w:type="gramEnd"/>
      <w:r w:rsidRPr="004D276B">
        <w:rPr>
          <w:rFonts w:ascii="Times New Roman" w:hAnsi="Times New Roman"/>
          <w:color w:val="0000FF"/>
          <w:sz w:val="24"/>
          <w:szCs w:val="24"/>
          <w:lang w:val="ru-RU" w:eastAsia="ru-RU"/>
        </w:rPr>
        <w:t xml:space="preserve"> кодексу України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>Фізичні особи можуть сплачувати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податок через касу сільської</w:t>
      </w: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рад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 за квитанцією про прийняття податків.</w:t>
      </w:r>
    </w:p>
    <w:p w:rsidR="00F42CC9" w:rsidRPr="00154370" w:rsidRDefault="00F42CC9" w:rsidP="00F42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54370">
        <w:rPr>
          <w:rFonts w:ascii="Times New Roman" w:hAnsi="Times New Roman"/>
          <w:b/>
          <w:sz w:val="24"/>
          <w:szCs w:val="24"/>
          <w:lang w:val="ru-RU" w:eastAsia="ru-RU"/>
        </w:rPr>
        <w:t>10. Строки сплати податку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 xml:space="preserve">10.1. Податкове зобов'язання за звітний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ік з податку сплачується:</w:t>
      </w:r>
    </w:p>
    <w:p w:rsidR="00F42CC9" w:rsidRPr="004D276B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t>а) фізичними особами - протягом 60 днів з дня вручення податкового повідомлення-рішення;</w:t>
      </w: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276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б) юридичними особами - авансовими внесками щокварталу до 30 числа місяця, що наступає за звітним кварталом, які відображаються в </w:t>
      </w:r>
      <w:proofErr w:type="gramStart"/>
      <w:r w:rsidRPr="004D276B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4D276B">
        <w:rPr>
          <w:rFonts w:ascii="Times New Roman" w:hAnsi="Times New Roman"/>
          <w:sz w:val="24"/>
          <w:szCs w:val="24"/>
          <w:lang w:val="ru-RU" w:eastAsia="ru-RU"/>
        </w:rPr>
        <w:t>ічній податковій декларації.</w:t>
      </w: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Сільський голова                            О.М.Мокляк</w:t>
      </w:r>
    </w:p>
    <w:p w:rsidR="00F42CC9" w:rsidRDefault="00F42CC9" w:rsidP="00F42C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92B42" w:rsidRDefault="00292B42" w:rsidP="00F42CC9">
      <w:pPr>
        <w:spacing w:after="0" w:line="240" w:lineRule="auto"/>
        <w:ind w:left="113" w:right="-170"/>
        <w:outlineLvl w:val="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F42CC9" w:rsidRPr="00F0410E" w:rsidRDefault="00F42CC9" w:rsidP="002B6FDA">
      <w:pPr>
        <w:spacing w:after="0" w:line="240" w:lineRule="auto"/>
        <w:ind w:left="113" w:right="-17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</w:t>
      </w:r>
    </w:p>
    <w:p w:rsidR="00C20690" w:rsidRDefault="00C20690"/>
    <w:sectPr w:rsidR="00C20690" w:rsidSect="00AF5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F42CC9"/>
    <w:rsid w:val="00292B42"/>
    <w:rsid w:val="002B6FDA"/>
    <w:rsid w:val="0037713E"/>
    <w:rsid w:val="00551280"/>
    <w:rsid w:val="0091526B"/>
    <w:rsid w:val="00AC0CE1"/>
    <w:rsid w:val="00C20690"/>
    <w:rsid w:val="00F4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CC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paragraph" w:customStyle="1" w:styleId="StyleZakonu">
    <w:name w:val="StyleZakonu"/>
    <w:basedOn w:val="a"/>
    <w:uiPriority w:val="99"/>
    <w:rsid w:val="00F42CC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4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42CC9"/>
  </w:style>
  <w:style w:type="character" w:styleId="a3">
    <w:name w:val="Hyperlink"/>
    <w:basedOn w:val="a0"/>
    <w:rsid w:val="00F42CC9"/>
    <w:rPr>
      <w:color w:val="0000FF"/>
      <w:u w:val="single"/>
    </w:rPr>
  </w:style>
  <w:style w:type="character" w:customStyle="1" w:styleId="rvts11">
    <w:name w:val="rvts11"/>
    <w:basedOn w:val="a0"/>
    <w:uiPriority w:val="99"/>
    <w:rsid w:val="00F42CC9"/>
  </w:style>
  <w:style w:type="character" w:customStyle="1" w:styleId="rvts9">
    <w:name w:val="rvts9"/>
    <w:basedOn w:val="a0"/>
    <w:uiPriority w:val="99"/>
    <w:rsid w:val="00F42CC9"/>
  </w:style>
  <w:style w:type="character" w:customStyle="1" w:styleId="rvts46">
    <w:name w:val="rvts46"/>
    <w:basedOn w:val="a0"/>
    <w:uiPriority w:val="99"/>
    <w:rsid w:val="00F42CC9"/>
  </w:style>
  <w:style w:type="character" w:customStyle="1" w:styleId="rvts0">
    <w:name w:val="rvts0"/>
    <w:basedOn w:val="a0"/>
    <w:rsid w:val="00F42CC9"/>
  </w:style>
  <w:style w:type="paragraph" w:customStyle="1" w:styleId="StyleWisnow">
    <w:name w:val="StyleWisnow"/>
    <w:basedOn w:val="a"/>
    <w:rsid w:val="00F42CC9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Ріжківська сільська рада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1022-104824089</cp:lastModifiedBy>
  <cp:revision>4</cp:revision>
  <dcterms:created xsi:type="dcterms:W3CDTF">2017-01-19T06:00:00Z</dcterms:created>
  <dcterms:modified xsi:type="dcterms:W3CDTF">2017-09-06T13:00:00Z</dcterms:modified>
</cp:coreProperties>
</file>