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59" w:rsidRPr="004E628E" w:rsidRDefault="00452459" w:rsidP="00D60A8F">
      <w:pPr>
        <w:jc w:val="center"/>
        <w:rPr>
          <w:rFonts w:ascii="Times New Roman" w:hAnsi="Times New Roman" w:cs="Times New Roman"/>
          <w:b/>
          <w:bCs/>
          <w:sz w:val="28"/>
          <w:szCs w:val="28"/>
          <w:lang w:val="uk-UA"/>
        </w:rPr>
      </w:pPr>
      <w:r w:rsidRPr="004E628E">
        <w:rPr>
          <w:rFonts w:ascii="Times New Roman" w:hAnsi="Times New Roman" w:cs="Times New Roman"/>
          <w:noProof/>
          <w:color w:val="000000"/>
          <w:sz w:val="28"/>
          <w:szCs w:val="28"/>
          <w:lang w:val="uk-UA"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5" o:title=""/>
          </v:shape>
        </w:pict>
      </w:r>
    </w:p>
    <w:p w:rsidR="00452459" w:rsidRPr="004E628E" w:rsidRDefault="00452459" w:rsidP="00D60A8F">
      <w:pPr>
        <w:jc w:val="center"/>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І  С А Й К І В С Ь К А   С І Л Ь С Ь К А   Р А Д А</w:t>
      </w:r>
    </w:p>
    <w:p w:rsidR="00452459" w:rsidRPr="004E628E" w:rsidRDefault="00452459" w:rsidP="00D60A8F">
      <w:pPr>
        <w:tabs>
          <w:tab w:val="left" w:pos="180"/>
        </w:tabs>
        <w:jc w:val="center"/>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 xml:space="preserve">Богуславського району Київської області </w:t>
      </w:r>
    </w:p>
    <w:p w:rsidR="00452459" w:rsidRPr="004E628E" w:rsidRDefault="00452459" w:rsidP="00D60A8F">
      <w:pPr>
        <w:tabs>
          <w:tab w:val="left" w:pos="180"/>
        </w:tabs>
        <w:jc w:val="center"/>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 тринадцята сесія  сьомого  скликання/</w:t>
      </w:r>
    </w:p>
    <w:p w:rsidR="00452459" w:rsidRPr="004E628E" w:rsidRDefault="00452459" w:rsidP="00D60A8F">
      <w:pPr>
        <w:tabs>
          <w:tab w:val="left" w:pos="180"/>
        </w:tabs>
        <w:jc w:val="center"/>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Р І Ш Е Н Н Я</w:t>
      </w:r>
    </w:p>
    <w:tbl>
      <w:tblPr>
        <w:tblW w:w="0" w:type="auto"/>
        <w:tblCellSpacing w:w="15" w:type="dxa"/>
        <w:tblInd w:w="2" w:type="dxa"/>
        <w:tblCellMar>
          <w:left w:w="0" w:type="dxa"/>
          <w:right w:w="0" w:type="dxa"/>
        </w:tblCellMar>
        <w:tblLook w:val="00A0"/>
      </w:tblPr>
      <w:tblGrid>
        <w:gridCol w:w="4260"/>
      </w:tblGrid>
      <w:tr w:rsidR="00452459" w:rsidRPr="004E628E">
        <w:trPr>
          <w:tblCellSpacing w:w="15" w:type="dxa"/>
        </w:trPr>
        <w:tc>
          <w:tcPr>
            <w:tcW w:w="4200" w:type="dxa"/>
            <w:shd w:val="clear" w:color="auto" w:fill="EEF1F4"/>
            <w:tcMar>
              <w:top w:w="75" w:type="dxa"/>
              <w:left w:w="75" w:type="dxa"/>
              <w:bottom w:w="75" w:type="dxa"/>
              <w:right w:w="75" w:type="dxa"/>
            </w:tcMar>
          </w:tcPr>
          <w:p w:rsidR="00452459" w:rsidRPr="004E628E" w:rsidRDefault="00452459">
            <w:pPr>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Про встановлення ставок транспортного податку</w:t>
            </w:r>
          </w:p>
        </w:tc>
      </w:tr>
    </w:tbl>
    <w:p w:rsidR="00452459" w:rsidRPr="004E628E" w:rsidRDefault="00452459" w:rsidP="003A7E85">
      <w:pPr>
        <w:tabs>
          <w:tab w:val="left" w:pos="180"/>
        </w:tabs>
        <w:outlineLvl w:val="0"/>
        <w:rPr>
          <w:sz w:val="28"/>
          <w:szCs w:val="28"/>
          <w:lang w:val="uk-UA"/>
        </w:rPr>
      </w:pPr>
      <w:bookmarkStart w:id="0" w:name="cut"/>
      <w:bookmarkEnd w:id="0"/>
      <w:r w:rsidRPr="004E628E">
        <w:rPr>
          <w:sz w:val="28"/>
          <w:szCs w:val="28"/>
          <w:lang w:val="uk-UA"/>
        </w:rPr>
        <w:t>Розглянувши лист Богуславського відділення Білоцерківської ОДПІ № 10/10-03 від 19.01.2017 року у зв»язку з внесенням Законами України  від 20.12.2016 року № 1791- УІІІ та від 21.12.2016 року № 1797-УІІІ до Податкового Кодексу України відповідно до п. 293.2 ст. 293 Податкового Кодексу, п. 24 ч. 1 ст. 26 Закону України «Про місцеве самоврядування в Україні, враховуючи при цьому висновки та рекомендації комісії сільської ради з</w:t>
      </w:r>
      <w:r w:rsidRPr="004E628E">
        <w:rPr>
          <w:lang w:val="uk-UA"/>
        </w:rPr>
        <w:t xml:space="preserve"> питань бюджету та фінансів, соціально-економічного та культурного розвитку,охорони здоров»я, навколишнього середовища, освіти, культури, молоді та спорту, </w:t>
      </w:r>
      <w:r w:rsidRPr="004E628E">
        <w:rPr>
          <w:sz w:val="28"/>
          <w:szCs w:val="28"/>
          <w:lang w:val="uk-UA"/>
        </w:rPr>
        <w:t xml:space="preserve"> Ісайківська сільська рада вирішила:</w:t>
      </w:r>
    </w:p>
    <w:p w:rsidR="00452459" w:rsidRPr="004E628E" w:rsidRDefault="00452459" w:rsidP="003A7E85">
      <w:pPr>
        <w:tabs>
          <w:tab w:val="left" w:pos="180"/>
        </w:tabs>
        <w:outlineLvl w:val="0"/>
        <w:rPr>
          <w:sz w:val="28"/>
          <w:szCs w:val="28"/>
          <w:lang w:val="uk-UA"/>
        </w:rPr>
      </w:pPr>
    </w:p>
    <w:p w:rsidR="00452459" w:rsidRPr="004E628E" w:rsidRDefault="00452459" w:rsidP="003A7E85">
      <w:pPr>
        <w:tabs>
          <w:tab w:val="left" w:pos="180"/>
        </w:tabs>
        <w:outlineLvl w:val="0"/>
        <w:rPr>
          <w:sz w:val="28"/>
          <w:szCs w:val="28"/>
          <w:lang w:val="uk-UA"/>
        </w:rPr>
      </w:pPr>
      <w:r w:rsidRPr="004E628E">
        <w:rPr>
          <w:sz w:val="28"/>
          <w:szCs w:val="28"/>
          <w:lang w:val="uk-UA"/>
        </w:rPr>
        <w:t xml:space="preserve">                                                          ВИРІШИЛА:</w:t>
      </w:r>
    </w:p>
    <w:p w:rsidR="00452459" w:rsidRPr="004E628E" w:rsidRDefault="00452459" w:rsidP="003A7E85">
      <w:pPr>
        <w:spacing w:before="300" w:line="216" w:lineRule="auto"/>
        <w:ind w:firstLine="708"/>
        <w:rPr>
          <w:sz w:val="28"/>
          <w:szCs w:val="28"/>
          <w:lang w:val="uk-UA"/>
        </w:rPr>
      </w:pPr>
      <w:r w:rsidRPr="004E628E">
        <w:rPr>
          <w:sz w:val="28"/>
          <w:szCs w:val="28"/>
          <w:lang w:val="uk-UA"/>
        </w:rPr>
        <w:t xml:space="preserve">1. Внести зміни в додаток до рішення сьомої сесії Ісайківської сільської ради сьомого скликання  № 64--07- УІІ  від 17.06.2016 року « Про порядок нарахування та сплату транспортного податку» в частині сплати транспортного податку  </w:t>
      </w:r>
    </w:p>
    <w:p w:rsidR="00452459" w:rsidRPr="004E628E" w:rsidRDefault="00452459" w:rsidP="003A7E85">
      <w:pPr>
        <w:spacing w:before="300" w:line="216" w:lineRule="auto"/>
        <w:ind w:firstLine="708"/>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ВИРІШИЛА:</w:t>
      </w:r>
    </w:p>
    <w:p w:rsidR="00452459" w:rsidRPr="004E628E" w:rsidRDefault="00452459" w:rsidP="003A7E85">
      <w:pPr>
        <w:pStyle w:val="ListParagraph"/>
        <w:ind w:left="0"/>
        <w:rPr>
          <w:rFonts w:ascii="Times New Roman" w:hAnsi="Times New Roman" w:cs="Times New Roman"/>
          <w:sz w:val="28"/>
          <w:szCs w:val="28"/>
          <w:lang w:val="uk-UA"/>
        </w:rPr>
      </w:pPr>
      <w:r w:rsidRPr="004E628E">
        <w:rPr>
          <w:rFonts w:ascii="Times New Roman" w:hAnsi="Times New Roman" w:cs="Times New Roman"/>
          <w:sz w:val="28"/>
          <w:szCs w:val="28"/>
          <w:lang w:val="uk-UA"/>
        </w:rPr>
        <w:t>встановити з 01.01.2017 року розмір справляння транспортного податку, як складової податку на майно відповідно до Положення про транспортний податок (додається).</w:t>
      </w:r>
    </w:p>
    <w:p w:rsidR="00452459" w:rsidRPr="004E628E" w:rsidRDefault="00452459" w:rsidP="00D60A8F">
      <w:pPr>
        <w:pStyle w:val="ListParagraph"/>
        <w:numPr>
          <w:ilvl w:val="0"/>
          <w:numId w:val="1"/>
        </w:numPr>
        <w:shd w:val="clear" w:color="auto" w:fill="FFFFFF"/>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бюджету та фінансів, соціально-економічного та культурного розвитку</w:t>
      </w:r>
      <w:r w:rsidRPr="004E628E">
        <w:rPr>
          <w:sz w:val="28"/>
          <w:szCs w:val="28"/>
          <w:lang w:val="uk-UA"/>
        </w:rPr>
        <w:t xml:space="preserve"> охорони здоров»я, навколишнього середовища, освіти, культури, молоді та спорту.</w:t>
      </w:r>
    </w:p>
    <w:p w:rsidR="00452459" w:rsidRPr="004E628E" w:rsidRDefault="00452459" w:rsidP="00D60A8F">
      <w:pPr>
        <w:pStyle w:val="ListParagraph"/>
        <w:shd w:val="clear" w:color="auto" w:fill="FFFFFF"/>
        <w:ind w:left="360"/>
        <w:jc w:val="both"/>
        <w:rPr>
          <w:rFonts w:ascii="Times New Roman" w:hAnsi="Times New Roman" w:cs="Times New Roman"/>
          <w:sz w:val="28"/>
          <w:szCs w:val="28"/>
          <w:lang w:val="uk-UA"/>
        </w:rPr>
      </w:pPr>
    </w:p>
    <w:p w:rsidR="00452459" w:rsidRPr="004E628E" w:rsidRDefault="00452459" w:rsidP="00D60A8F">
      <w:pPr>
        <w:rPr>
          <w:rFonts w:ascii="Times New Roman" w:hAnsi="Times New Roman" w:cs="Times New Roman"/>
          <w:sz w:val="28"/>
          <w:szCs w:val="28"/>
          <w:lang w:val="uk-UA"/>
        </w:rPr>
      </w:pPr>
      <w:r w:rsidRPr="004E628E">
        <w:rPr>
          <w:rFonts w:ascii="Times New Roman" w:hAnsi="Times New Roman" w:cs="Times New Roman"/>
          <w:sz w:val="28"/>
          <w:szCs w:val="28"/>
          <w:lang w:val="uk-UA"/>
        </w:rPr>
        <w:t>Сільський голова                                      П. В. Кушка</w:t>
      </w:r>
    </w:p>
    <w:p w:rsidR="00452459" w:rsidRPr="004E628E" w:rsidRDefault="00452459" w:rsidP="00D60A8F">
      <w:pPr>
        <w:rPr>
          <w:rFonts w:ascii="Times New Roman" w:hAnsi="Times New Roman" w:cs="Times New Roman"/>
          <w:sz w:val="28"/>
          <w:szCs w:val="28"/>
          <w:lang w:val="uk-UA"/>
        </w:rPr>
      </w:pPr>
      <w:r w:rsidRPr="004E628E">
        <w:rPr>
          <w:rFonts w:ascii="Times New Roman" w:hAnsi="Times New Roman" w:cs="Times New Roman"/>
          <w:sz w:val="28"/>
          <w:szCs w:val="28"/>
          <w:lang w:val="uk-UA"/>
        </w:rPr>
        <w:t>с. Ісайки</w:t>
      </w:r>
    </w:p>
    <w:p w:rsidR="00452459" w:rsidRPr="004E628E" w:rsidRDefault="00452459" w:rsidP="00D60A8F">
      <w:pPr>
        <w:rPr>
          <w:rFonts w:ascii="Times New Roman" w:hAnsi="Times New Roman" w:cs="Times New Roman"/>
          <w:sz w:val="28"/>
          <w:szCs w:val="28"/>
          <w:lang w:val="uk-UA"/>
        </w:rPr>
      </w:pPr>
      <w:r w:rsidRPr="004E628E">
        <w:rPr>
          <w:rFonts w:ascii="Times New Roman" w:hAnsi="Times New Roman" w:cs="Times New Roman"/>
          <w:sz w:val="28"/>
          <w:szCs w:val="28"/>
          <w:lang w:val="uk-UA"/>
        </w:rPr>
        <w:t>18 січня 2017 року</w:t>
      </w:r>
    </w:p>
    <w:p w:rsidR="00452459" w:rsidRPr="004E628E" w:rsidRDefault="00452459" w:rsidP="00D60A8F">
      <w:pPr>
        <w:rPr>
          <w:rFonts w:ascii="Times New Roman" w:hAnsi="Times New Roman" w:cs="Times New Roman"/>
          <w:sz w:val="28"/>
          <w:szCs w:val="28"/>
          <w:lang w:val="uk-UA"/>
        </w:rPr>
      </w:pPr>
      <w:r w:rsidRPr="004E628E">
        <w:rPr>
          <w:rFonts w:ascii="Times New Roman" w:hAnsi="Times New Roman" w:cs="Times New Roman"/>
          <w:sz w:val="28"/>
          <w:szCs w:val="28"/>
          <w:lang w:val="uk-UA"/>
        </w:rPr>
        <w:t>№ 96-13-УІІ</w:t>
      </w:r>
    </w:p>
    <w:p w:rsidR="00452459" w:rsidRPr="004E628E" w:rsidRDefault="00452459" w:rsidP="00D60A8F">
      <w:pPr>
        <w:rPr>
          <w:rFonts w:ascii="Times New Roman" w:hAnsi="Times New Roman" w:cs="Times New Roman"/>
          <w:sz w:val="28"/>
          <w:szCs w:val="28"/>
          <w:lang w:val="uk-UA"/>
        </w:rPr>
      </w:pPr>
    </w:p>
    <w:p w:rsidR="00452459" w:rsidRPr="004E628E" w:rsidRDefault="00452459" w:rsidP="00D60A8F">
      <w:pPr>
        <w:jc w:val="right"/>
        <w:rPr>
          <w:rFonts w:ascii="Times New Roman" w:hAnsi="Times New Roman" w:cs="Times New Roman"/>
          <w:sz w:val="24"/>
          <w:szCs w:val="24"/>
          <w:lang w:val="uk-UA"/>
        </w:rPr>
      </w:pPr>
    </w:p>
    <w:p w:rsidR="00452459" w:rsidRPr="004E628E" w:rsidRDefault="00452459" w:rsidP="00D60A8F">
      <w:pPr>
        <w:spacing w:line="240" w:lineRule="auto"/>
        <w:jc w:val="right"/>
        <w:rPr>
          <w:rFonts w:ascii="Times New Roman" w:hAnsi="Times New Roman" w:cs="Times New Roman"/>
          <w:sz w:val="20"/>
          <w:szCs w:val="20"/>
          <w:lang w:val="uk-UA"/>
        </w:rPr>
      </w:pPr>
      <w:r w:rsidRPr="004E628E">
        <w:rPr>
          <w:rFonts w:ascii="Times New Roman" w:hAnsi="Times New Roman" w:cs="Times New Roman"/>
          <w:sz w:val="20"/>
          <w:szCs w:val="20"/>
          <w:lang w:val="uk-UA"/>
        </w:rPr>
        <w:t>Додаток 1</w:t>
      </w:r>
    </w:p>
    <w:p w:rsidR="00452459" w:rsidRPr="004E628E" w:rsidRDefault="00452459" w:rsidP="00D60A8F">
      <w:pPr>
        <w:spacing w:line="240" w:lineRule="auto"/>
        <w:jc w:val="right"/>
        <w:rPr>
          <w:rFonts w:ascii="Times New Roman" w:hAnsi="Times New Roman" w:cs="Times New Roman"/>
          <w:sz w:val="20"/>
          <w:szCs w:val="20"/>
          <w:lang w:val="uk-UA"/>
        </w:rPr>
      </w:pPr>
      <w:r w:rsidRPr="004E628E">
        <w:rPr>
          <w:rFonts w:ascii="Times New Roman" w:hAnsi="Times New Roman" w:cs="Times New Roman"/>
          <w:sz w:val="20"/>
          <w:szCs w:val="20"/>
          <w:lang w:val="uk-UA"/>
        </w:rPr>
        <w:t xml:space="preserve">до рішення Ісайківської сільської ради </w:t>
      </w:r>
    </w:p>
    <w:p w:rsidR="00452459" w:rsidRPr="004E628E" w:rsidRDefault="00452459" w:rsidP="00D60A8F">
      <w:pPr>
        <w:spacing w:line="240" w:lineRule="auto"/>
        <w:jc w:val="right"/>
        <w:rPr>
          <w:rFonts w:ascii="Times New Roman" w:hAnsi="Times New Roman" w:cs="Times New Roman"/>
          <w:sz w:val="20"/>
          <w:szCs w:val="20"/>
          <w:lang w:val="uk-UA"/>
        </w:rPr>
      </w:pPr>
      <w:r w:rsidRPr="004E628E">
        <w:rPr>
          <w:rFonts w:ascii="Times New Roman" w:hAnsi="Times New Roman" w:cs="Times New Roman"/>
          <w:sz w:val="20"/>
          <w:szCs w:val="20"/>
          <w:lang w:val="uk-UA"/>
        </w:rPr>
        <w:t xml:space="preserve">                                                                         від 18.01.2017 року №96-13-УІІ </w:t>
      </w:r>
    </w:p>
    <w:p w:rsidR="00452459" w:rsidRPr="004E628E" w:rsidRDefault="00452459" w:rsidP="00D60A8F">
      <w:pPr>
        <w:jc w:val="center"/>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ПОЛОЖЕННЯ</w:t>
      </w:r>
    </w:p>
    <w:p w:rsidR="00452459" w:rsidRPr="004E628E" w:rsidRDefault="00452459" w:rsidP="00D60A8F">
      <w:pPr>
        <w:jc w:val="center"/>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ПРО ТРАНСПОРТНИЙ ПОДАТОК</w:t>
      </w:r>
    </w:p>
    <w:p w:rsidR="00452459" w:rsidRPr="004E628E" w:rsidRDefault="00452459" w:rsidP="00466D4B">
      <w:pPr>
        <w:jc w:val="both"/>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1. Платники податку</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1.1. Платниками транспортного податку є фізичні та юридичні особи, в тім числі нерезиденти, які мають зареєстровані в Україні згідно з чинним законодавством власні легкові автомобілі.</w:t>
      </w:r>
    </w:p>
    <w:p w:rsidR="00452459" w:rsidRPr="004E628E" w:rsidRDefault="00452459" w:rsidP="00466D4B">
      <w:pPr>
        <w:jc w:val="both"/>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2. Об'єкт оподаткування</w:t>
      </w:r>
    </w:p>
    <w:p w:rsidR="00452459" w:rsidRPr="004E628E" w:rsidRDefault="00452459" w:rsidP="00466D4B">
      <w:pPr>
        <w:tabs>
          <w:tab w:val="center" w:pos="4677"/>
        </w:tabs>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 xml:space="preserve">2.1 </w:t>
      </w:r>
      <w:r w:rsidRPr="004E628E">
        <w:rPr>
          <w:sz w:val="28"/>
          <w:szCs w:val="28"/>
          <w:lang w:val="uk-UA"/>
        </w:rPr>
        <w:t xml:space="preserve">Об»єктом оподаткування  транспортним податком  на 2018 рік  є легкові автомобілі   </w:t>
      </w:r>
      <w:r w:rsidRPr="004E628E">
        <w:rPr>
          <w:rFonts w:ascii="Times New Roman" w:hAnsi="Times New Roman" w:cs="Times New Roman"/>
          <w:sz w:val="28"/>
          <w:szCs w:val="28"/>
          <w:lang w:val="uk-UA"/>
        </w:rPr>
        <w:t>які використовувалися до 5 років і мають об'єм циліндрів двигуна понад 3000 куб. см.</w:t>
      </w:r>
      <w:r w:rsidRPr="004E628E">
        <w:rPr>
          <w:sz w:val="28"/>
          <w:szCs w:val="28"/>
          <w:lang w:val="uk-UA"/>
        </w:rPr>
        <w:t xml:space="preserve"> середньо – ринкова вартість  яких становить понад </w:t>
      </w:r>
      <w:r w:rsidRPr="004E628E">
        <w:rPr>
          <w:b/>
          <w:bCs/>
          <w:sz w:val="28"/>
          <w:szCs w:val="28"/>
          <w:lang w:val="uk-UA"/>
        </w:rPr>
        <w:t>375 розмірів</w:t>
      </w:r>
      <w:r w:rsidRPr="004E628E">
        <w:rPr>
          <w:sz w:val="28"/>
          <w:szCs w:val="28"/>
          <w:lang w:val="uk-UA"/>
        </w:rPr>
        <w:t xml:space="preserve">  мінімальної заробітної плати, встановленої законом на 1 січня податкового (звітного) року  і перевищує понад 1 млн. 200 тис. гривень.</w:t>
      </w:r>
    </w:p>
    <w:p w:rsidR="00452459" w:rsidRPr="004E628E" w:rsidRDefault="00452459" w:rsidP="00466D4B">
      <w:pPr>
        <w:jc w:val="both"/>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3. База оподаткування</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3.1 Базою оподаткування є легковий автомобіль, що є об'єктом оподаткування відповідно до пункту 2.1 цього Положення.</w:t>
      </w:r>
    </w:p>
    <w:p w:rsidR="00452459" w:rsidRPr="004E628E" w:rsidRDefault="00452459" w:rsidP="00466D4B">
      <w:pPr>
        <w:jc w:val="both"/>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4. Ставка податку</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2.1 цього Положення.</w:t>
      </w:r>
    </w:p>
    <w:p w:rsidR="00452459" w:rsidRPr="004E628E" w:rsidRDefault="00452459" w:rsidP="00466D4B">
      <w:pPr>
        <w:jc w:val="both"/>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5. Податковий (звітний) період</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5.1. Базовий податковий (звітний) період дорівнює календарному кварталу.</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b/>
          <w:bCs/>
          <w:sz w:val="28"/>
          <w:szCs w:val="28"/>
          <w:lang w:val="uk-UA"/>
        </w:rPr>
        <w:t>6.</w:t>
      </w:r>
      <w:r w:rsidRPr="004E628E">
        <w:rPr>
          <w:rFonts w:ascii="Times New Roman" w:hAnsi="Times New Roman" w:cs="Times New Roman"/>
          <w:sz w:val="28"/>
          <w:szCs w:val="28"/>
          <w:lang w:val="uk-UA"/>
        </w:rPr>
        <w:t xml:space="preserve"> </w:t>
      </w:r>
      <w:r w:rsidRPr="004E628E">
        <w:rPr>
          <w:rFonts w:ascii="Times New Roman" w:hAnsi="Times New Roman" w:cs="Times New Roman"/>
          <w:b/>
          <w:bCs/>
          <w:sz w:val="28"/>
          <w:szCs w:val="28"/>
          <w:lang w:val="uk-UA"/>
        </w:rPr>
        <w:t>Порядок обчислення та сплати податку</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6.1. Обчислення суми податку з об'єктів оподаткування фізичних осіб здійснюється контролюючим органом за місцем реєстрації платника податку.</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6.2. Податкові повідомлення – рішення про сплати сум податку та відповідні платіжні реквізити надсилаються платнику податку контролюючим органом за місцем його реєстрації до 1 липня року базового податкового (звітного) періоду (року).</w:t>
      </w:r>
    </w:p>
    <w:p w:rsidR="00452459" w:rsidRPr="004E628E" w:rsidRDefault="00452459" w:rsidP="00466D4B">
      <w:pPr>
        <w:spacing w:line="240" w:lineRule="auto"/>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Щодо об'єктів оподаткування, придбаних протягом року, податок сплачуться фізичною особою-платником починаючи з місяця, в якому виникло право власності на такий об'єкт. Контролюючий орган надсилає податкове повідомлення – рішення новому власнику після отримання інформації про перехід права власності.</w:t>
      </w:r>
    </w:p>
    <w:p w:rsidR="00452459" w:rsidRPr="004E628E" w:rsidRDefault="00452459" w:rsidP="00466D4B">
      <w:pPr>
        <w:tabs>
          <w:tab w:val="center" w:pos="4677"/>
        </w:tabs>
        <w:spacing w:line="240" w:lineRule="auto"/>
        <w:jc w:val="both"/>
        <w:rPr>
          <w:sz w:val="28"/>
          <w:szCs w:val="28"/>
          <w:lang w:val="uk-UA"/>
        </w:rPr>
      </w:pPr>
      <w:r w:rsidRPr="004E628E">
        <w:rPr>
          <w:sz w:val="28"/>
          <w:szCs w:val="28"/>
          <w:lang w:val="uk-UA"/>
        </w:rPr>
        <w:t>У разі спливу п»ятирічного віку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452459" w:rsidRPr="004E628E" w:rsidRDefault="00452459" w:rsidP="00466D4B">
      <w:pPr>
        <w:tabs>
          <w:tab w:val="center" w:pos="4677"/>
        </w:tabs>
        <w:spacing w:line="240" w:lineRule="auto"/>
        <w:jc w:val="both"/>
        <w:rPr>
          <w:rFonts w:ascii="Times New Roman" w:hAnsi="Times New Roman" w:cs="Times New Roman"/>
          <w:sz w:val="28"/>
          <w:szCs w:val="28"/>
          <w:lang w:val="uk-UA"/>
        </w:rPr>
      </w:pPr>
      <w:r w:rsidRPr="004E628E">
        <w:rPr>
          <w:sz w:val="28"/>
          <w:szCs w:val="28"/>
          <w:lang w:val="uk-UA"/>
        </w:rPr>
        <w:t>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При поверненні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 прокурора чи рішення суду.</w:t>
      </w:r>
    </w:p>
    <w:p w:rsidR="00452459" w:rsidRPr="004E628E" w:rsidRDefault="00452459" w:rsidP="00466D4B">
      <w:pPr>
        <w:spacing w:line="240" w:lineRule="auto"/>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Нарахування податку та надсилання (вручення) податкових повідомлення-рішень про сплату податку фізичними особами - нерезедентами здійснюють контролюючі органи за місцем реєстрації об'єктів оподаткування, що перебувають у власності таких нерезидентів.</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6.3. Платники податку – юридичні особи самостійно обчислюють суму податку станом на 01 січня звітного року і 20 лютого цього ж року подають контролюючому органу за місцем реєстрації об'єкта оподаткування декларацію за встановленою формою.</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Щодо об'єктів оподаткування, придбаних юридичною особою протягом року, декларація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6.4.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 починаючи з місяця, в якому він набув право власності на цей об'єкт.</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6.5. За об'єктом оподаткування ,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452459" w:rsidRPr="004E628E" w:rsidRDefault="00452459" w:rsidP="00466D4B">
      <w:pPr>
        <w:jc w:val="both"/>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7. Порядок сплати податку</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7.1 Податок сплачується за місцем реєстрації об'єктів оподаткування і зараховується до сільського бюджету.</w:t>
      </w:r>
    </w:p>
    <w:p w:rsidR="00452459" w:rsidRPr="004E628E" w:rsidRDefault="00452459" w:rsidP="00466D4B">
      <w:pPr>
        <w:jc w:val="both"/>
        <w:rPr>
          <w:rFonts w:ascii="Times New Roman" w:hAnsi="Times New Roman" w:cs="Times New Roman"/>
          <w:b/>
          <w:bCs/>
          <w:sz w:val="28"/>
          <w:szCs w:val="28"/>
          <w:lang w:val="uk-UA"/>
        </w:rPr>
      </w:pPr>
      <w:r w:rsidRPr="004E628E">
        <w:rPr>
          <w:rFonts w:ascii="Times New Roman" w:hAnsi="Times New Roman" w:cs="Times New Roman"/>
          <w:b/>
          <w:bCs/>
          <w:sz w:val="28"/>
          <w:szCs w:val="28"/>
          <w:lang w:val="uk-UA"/>
        </w:rPr>
        <w:t xml:space="preserve"> 8.Строки сплати податку</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8.1 Транспортний податок сплачується:</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а) фізичними особами - протягом 60 днів з дня вручення податковою повідомлення-рішення;</w:t>
      </w: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452459" w:rsidRPr="004E628E" w:rsidRDefault="00452459" w:rsidP="00466D4B">
      <w:pPr>
        <w:jc w:val="both"/>
        <w:rPr>
          <w:rFonts w:ascii="Times New Roman" w:hAnsi="Times New Roman" w:cs="Times New Roman"/>
          <w:sz w:val="28"/>
          <w:szCs w:val="28"/>
          <w:lang w:val="uk-UA"/>
        </w:rPr>
      </w:pPr>
    </w:p>
    <w:p w:rsidR="00452459" w:rsidRPr="004E628E" w:rsidRDefault="00452459" w:rsidP="00466D4B">
      <w:pPr>
        <w:jc w:val="both"/>
        <w:rPr>
          <w:rFonts w:ascii="Times New Roman" w:hAnsi="Times New Roman" w:cs="Times New Roman"/>
          <w:sz w:val="28"/>
          <w:szCs w:val="28"/>
          <w:lang w:val="uk-UA"/>
        </w:rPr>
      </w:pPr>
      <w:r w:rsidRPr="004E628E">
        <w:rPr>
          <w:rFonts w:ascii="Times New Roman" w:hAnsi="Times New Roman" w:cs="Times New Roman"/>
          <w:sz w:val="28"/>
          <w:szCs w:val="28"/>
          <w:lang w:val="uk-UA"/>
        </w:rPr>
        <w:t>Секретар ради                                                  Г.В.Васильченко</w:t>
      </w:r>
    </w:p>
    <w:p w:rsidR="00452459" w:rsidRPr="004E628E" w:rsidRDefault="00452459" w:rsidP="00466D4B">
      <w:pPr>
        <w:jc w:val="both"/>
        <w:rPr>
          <w:rFonts w:ascii="Times New Roman" w:hAnsi="Times New Roman" w:cs="Times New Roman"/>
          <w:sz w:val="28"/>
          <w:szCs w:val="28"/>
          <w:lang w:val="uk-UA"/>
        </w:rPr>
      </w:pPr>
    </w:p>
    <w:p w:rsidR="00452459" w:rsidRPr="004E628E" w:rsidRDefault="00452459" w:rsidP="00466D4B">
      <w:pPr>
        <w:jc w:val="both"/>
        <w:rPr>
          <w:rFonts w:ascii="Times New Roman" w:hAnsi="Times New Roman" w:cs="Times New Roman"/>
          <w:sz w:val="28"/>
          <w:szCs w:val="28"/>
          <w:lang w:val="uk-UA"/>
        </w:rPr>
      </w:pPr>
    </w:p>
    <w:p w:rsidR="00452459" w:rsidRPr="004E628E" w:rsidRDefault="00452459" w:rsidP="00523162">
      <w:pPr>
        <w:jc w:val="right"/>
        <w:rPr>
          <w:lang w:val="uk-UA"/>
        </w:rPr>
      </w:pPr>
      <w:r w:rsidRPr="004E628E">
        <w:rPr>
          <w:sz w:val="28"/>
          <w:szCs w:val="28"/>
          <w:lang w:val="uk-UA"/>
        </w:rPr>
        <w:t xml:space="preserve">                                                                                                                                   </w:t>
      </w:r>
    </w:p>
    <w:sectPr w:rsidR="00452459" w:rsidRPr="004E628E" w:rsidSect="000D543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F316C"/>
    <w:multiLevelType w:val="hybridMultilevel"/>
    <w:tmpl w:val="D486ADB4"/>
    <w:lvl w:ilvl="0" w:tplc="4F70EF1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45279C"/>
    <w:multiLevelType w:val="hybridMultilevel"/>
    <w:tmpl w:val="F8A2E416"/>
    <w:lvl w:ilvl="0" w:tplc="0419000F">
      <w:start w:val="4"/>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A6A3B05"/>
    <w:multiLevelType w:val="multilevel"/>
    <w:tmpl w:val="645A4B14"/>
    <w:lvl w:ilvl="0">
      <w:start w:val="1"/>
      <w:numFmt w:val="decimal"/>
      <w:lvlText w:val="%1."/>
      <w:lvlJc w:val="left"/>
      <w:pPr>
        <w:ind w:left="360" w:hanging="360"/>
      </w:pPr>
      <w:rPr>
        <w:rFonts w:ascii="Times New Roman" w:eastAsia="Times New Roman" w:hAnsi="Times New Roman"/>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6B1A1636"/>
    <w:multiLevelType w:val="hybridMultilevel"/>
    <w:tmpl w:val="7A823F88"/>
    <w:lvl w:ilvl="0" w:tplc="16484C1E">
      <w:start w:val="1"/>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A8F"/>
    <w:rsid w:val="000700D6"/>
    <w:rsid w:val="000736DB"/>
    <w:rsid w:val="000D543E"/>
    <w:rsid w:val="00155BA9"/>
    <w:rsid w:val="001C4BC2"/>
    <w:rsid w:val="002B3998"/>
    <w:rsid w:val="00307839"/>
    <w:rsid w:val="003A7E85"/>
    <w:rsid w:val="003B5EC3"/>
    <w:rsid w:val="00412648"/>
    <w:rsid w:val="00447B4B"/>
    <w:rsid w:val="00452459"/>
    <w:rsid w:val="00466D4B"/>
    <w:rsid w:val="004C2C12"/>
    <w:rsid w:val="004E628E"/>
    <w:rsid w:val="00507C2A"/>
    <w:rsid w:val="00523162"/>
    <w:rsid w:val="005354A8"/>
    <w:rsid w:val="00555123"/>
    <w:rsid w:val="00566464"/>
    <w:rsid w:val="005677E6"/>
    <w:rsid w:val="005E25DA"/>
    <w:rsid w:val="005E56B3"/>
    <w:rsid w:val="00605980"/>
    <w:rsid w:val="00616BB9"/>
    <w:rsid w:val="00693E89"/>
    <w:rsid w:val="00693F82"/>
    <w:rsid w:val="00754644"/>
    <w:rsid w:val="007C252E"/>
    <w:rsid w:val="00810426"/>
    <w:rsid w:val="008F7CDB"/>
    <w:rsid w:val="00925635"/>
    <w:rsid w:val="009633DE"/>
    <w:rsid w:val="009B7CC8"/>
    <w:rsid w:val="00A0046C"/>
    <w:rsid w:val="00A077E8"/>
    <w:rsid w:val="00A07911"/>
    <w:rsid w:val="00A11B2C"/>
    <w:rsid w:val="00A210F7"/>
    <w:rsid w:val="00A61BF4"/>
    <w:rsid w:val="00A86041"/>
    <w:rsid w:val="00A96951"/>
    <w:rsid w:val="00AA2267"/>
    <w:rsid w:val="00AE4A39"/>
    <w:rsid w:val="00B243CD"/>
    <w:rsid w:val="00B656AF"/>
    <w:rsid w:val="00B67EDA"/>
    <w:rsid w:val="00B815AD"/>
    <w:rsid w:val="00BD0DB9"/>
    <w:rsid w:val="00C1743B"/>
    <w:rsid w:val="00C50102"/>
    <w:rsid w:val="00C97291"/>
    <w:rsid w:val="00CC19F2"/>
    <w:rsid w:val="00D15269"/>
    <w:rsid w:val="00D26863"/>
    <w:rsid w:val="00D519E4"/>
    <w:rsid w:val="00D60A8F"/>
    <w:rsid w:val="00E02529"/>
    <w:rsid w:val="00E3703D"/>
    <w:rsid w:val="00EA01E1"/>
    <w:rsid w:val="00EC68F7"/>
    <w:rsid w:val="00EF44E8"/>
    <w:rsid w:val="00F44721"/>
    <w:rsid w:val="00F7577D"/>
    <w:rsid w:val="00F84D7D"/>
    <w:rsid w:val="00FC693C"/>
    <w:rsid w:val="00FF6E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8F"/>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0A8F"/>
    <w:pPr>
      <w:ind w:left="720"/>
    </w:pPr>
  </w:style>
  <w:style w:type="paragraph" w:styleId="BalloonText">
    <w:name w:val="Balloon Text"/>
    <w:basedOn w:val="Normal"/>
    <w:link w:val="BalloonTextChar"/>
    <w:uiPriority w:val="99"/>
    <w:semiHidden/>
    <w:rsid w:val="00D6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A8F"/>
    <w:rPr>
      <w:rFonts w:ascii="Tahoma" w:hAnsi="Tahoma" w:cs="Tahoma"/>
      <w:sz w:val="16"/>
      <w:szCs w:val="16"/>
    </w:rPr>
  </w:style>
  <w:style w:type="paragraph" w:styleId="NormalWeb">
    <w:name w:val="Normal (Web)"/>
    <w:basedOn w:val="Normal"/>
    <w:uiPriority w:val="99"/>
    <w:semiHidden/>
    <w:rsid w:val="00AA2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8F7CDB"/>
    <w:rPr>
      <w:b/>
      <w:bCs/>
    </w:rPr>
  </w:style>
</w:styles>
</file>

<file path=word/webSettings.xml><?xml version="1.0" encoding="utf-8"?>
<w:webSettings xmlns:r="http://schemas.openxmlformats.org/officeDocument/2006/relationships" xmlns:w="http://schemas.openxmlformats.org/wordprocessingml/2006/main">
  <w:divs>
    <w:div w:id="1764033311">
      <w:marLeft w:val="0"/>
      <w:marRight w:val="0"/>
      <w:marTop w:val="0"/>
      <w:marBottom w:val="0"/>
      <w:divBdr>
        <w:top w:val="none" w:sz="0" w:space="0" w:color="auto"/>
        <w:left w:val="none" w:sz="0" w:space="0" w:color="auto"/>
        <w:bottom w:val="none" w:sz="0" w:space="0" w:color="auto"/>
        <w:right w:val="none" w:sz="0" w:space="0" w:color="auto"/>
      </w:divBdr>
    </w:div>
    <w:div w:id="1764033312">
      <w:marLeft w:val="0"/>
      <w:marRight w:val="0"/>
      <w:marTop w:val="0"/>
      <w:marBottom w:val="0"/>
      <w:divBdr>
        <w:top w:val="none" w:sz="0" w:space="0" w:color="auto"/>
        <w:left w:val="none" w:sz="0" w:space="0" w:color="auto"/>
        <w:bottom w:val="none" w:sz="0" w:space="0" w:color="auto"/>
        <w:right w:val="none" w:sz="0" w:space="0" w:color="auto"/>
      </w:divBdr>
    </w:div>
    <w:div w:id="1764033313">
      <w:marLeft w:val="0"/>
      <w:marRight w:val="0"/>
      <w:marTop w:val="0"/>
      <w:marBottom w:val="0"/>
      <w:divBdr>
        <w:top w:val="none" w:sz="0" w:space="0" w:color="auto"/>
        <w:left w:val="none" w:sz="0" w:space="0" w:color="auto"/>
        <w:bottom w:val="none" w:sz="0" w:space="0" w:color="auto"/>
        <w:right w:val="none" w:sz="0" w:space="0" w:color="auto"/>
      </w:divBdr>
    </w:div>
    <w:div w:id="1764033314">
      <w:marLeft w:val="0"/>
      <w:marRight w:val="0"/>
      <w:marTop w:val="0"/>
      <w:marBottom w:val="0"/>
      <w:divBdr>
        <w:top w:val="none" w:sz="0" w:space="0" w:color="auto"/>
        <w:left w:val="none" w:sz="0" w:space="0" w:color="auto"/>
        <w:bottom w:val="none" w:sz="0" w:space="0" w:color="auto"/>
        <w:right w:val="none" w:sz="0" w:space="0" w:color="auto"/>
      </w:divBdr>
    </w:div>
    <w:div w:id="1764033315">
      <w:marLeft w:val="0"/>
      <w:marRight w:val="0"/>
      <w:marTop w:val="0"/>
      <w:marBottom w:val="0"/>
      <w:divBdr>
        <w:top w:val="none" w:sz="0" w:space="0" w:color="auto"/>
        <w:left w:val="none" w:sz="0" w:space="0" w:color="auto"/>
        <w:bottom w:val="none" w:sz="0" w:space="0" w:color="auto"/>
        <w:right w:val="none" w:sz="0" w:space="0" w:color="auto"/>
      </w:divBdr>
    </w:div>
    <w:div w:id="1764033316">
      <w:marLeft w:val="0"/>
      <w:marRight w:val="0"/>
      <w:marTop w:val="0"/>
      <w:marBottom w:val="0"/>
      <w:divBdr>
        <w:top w:val="none" w:sz="0" w:space="0" w:color="auto"/>
        <w:left w:val="none" w:sz="0" w:space="0" w:color="auto"/>
        <w:bottom w:val="none" w:sz="0" w:space="0" w:color="auto"/>
        <w:right w:val="none" w:sz="0" w:space="0" w:color="auto"/>
      </w:divBdr>
    </w:div>
    <w:div w:id="1764033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965</Words>
  <Characters>5502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27kom</cp:lastModifiedBy>
  <cp:revision>8</cp:revision>
  <dcterms:created xsi:type="dcterms:W3CDTF">2017-09-06T13:33:00Z</dcterms:created>
  <dcterms:modified xsi:type="dcterms:W3CDTF">2017-09-12T09:28:00Z</dcterms:modified>
</cp:coreProperties>
</file>