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541B0666" w:rsidR="00131B14" w:rsidRPr="00A7183F" w:rsidRDefault="00A7183F" w:rsidP="00A7183F">
            <w:pPr>
              <w:spacing w:line="240" w:lineRule="auto"/>
              <w:ind w:firstLine="0"/>
              <w:rPr>
                <w:sz w:val="24"/>
                <w:szCs w:val="24"/>
              </w:rPr>
            </w:pPr>
            <w:r w:rsidRPr="00A7183F">
              <w:rPr>
                <w:sz w:val="24"/>
                <w:szCs w:val="24"/>
              </w:rPr>
              <w:t>Начальник відділу аналітичної роботи та перевірок підозрілих фінансових операцій управління боротьби з відмиванням доходів, одержаних злочинним шляхом,</w:t>
            </w:r>
            <w:r w:rsidR="00EA5076" w:rsidRPr="00A7183F">
              <w:rPr>
                <w:sz w:val="24"/>
                <w:szCs w:val="24"/>
              </w:rPr>
              <w:t xml:space="preserve"> </w:t>
            </w:r>
            <w:r w:rsidR="009C2CE0" w:rsidRPr="00A7183F">
              <w:rPr>
                <w:sz w:val="24"/>
                <w:szCs w:val="24"/>
              </w:rPr>
              <w:t>категорія «</w:t>
            </w:r>
            <w:r w:rsidR="00264C11" w:rsidRPr="00A7183F">
              <w:rPr>
                <w:sz w:val="24"/>
                <w:szCs w:val="24"/>
              </w:rPr>
              <w:t>Б</w:t>
            </w:r>
            <w:r w:rsidR="009C2CE0" w:rsidRPr="00A7183F">
              <w:rPr>
                <w:sz w:val="24"/>
                <w:szCs w:val="24"/>
              </w:rPr>
              <w:t>»</w:t>
            </w:r>
          </w:p>
        </w:tc>
      </w:tr>
      <w:tr w:rsidR="00131B14" w:rsidRPr="00131B14" w14:paraId="2D200059" w14:textId="77777777" w:rsidTr="00EA5076">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121C69FE" w14:textId="3DA426AF" w:rsidR="00A7183F" w:rsidRPr="00A7183F" w:rsidRDefault="00A7183F" w:rsidP="007F1810">
            <w:pPr>
              <w:spacing w:line="240" w:lineRule="auto"/>
              <w:ind w:firstLine="0"/>
              <w:rPr>
                <w:sz w:val="24"/>
                <w:szCs w:val="24"/>
              </w:rPr>
            </w:pPr>
            <w:r w:rsidRPr="00A7183F">
              <w:rPr>
                <w:sz w:val="24"/>
                <w:szCs w:val="24"/>
              </w:rPr>
              <w:t>-</w:t>
            </w:r>
            <w:r>
              <w:rPr>
                <w:sz w:val="24"/>
                <w:szCs w:val="24"/>
              </w:rPr>
              <w:t>р</w:t>
            </w:r>
            <w:r w:rsidRPr="00A7183F">
              <w:rPr>
                <w:sz w:val="24"/>
                <w:szCs w:val="24"/>
              </w:rPr>
              <w:t xml:space="preserve">озгляд у межах компетенції звернень (заяв, скарг, пропозицій) у </w:t>
            </w:r>
            <w:proofErr w:type="spellStart"/>
            <w:r w:rsidRPr="00A7183F">
              <w:rPr>
                <w:sz w:val="24"/>
                <w:szCs w:val="24"/>
              </w:rPr>
              <w:t>т.ч</w:t>
            </w:r>
            <w:proofErr w:type="spellEnd"/>
            <w:r w:rsidRPr="00A7183F">
              <w:rPr>
                <w:sz w:val="24"/>
                <w:szCs w:val="24"/>
              </w:rPr>
              <w:t xml:space="preserve">. повторних, ЦОВВ та їх територіальних органів, судової гілки влади, правоохоронних органів, органів місцевого самоврядування, платників податків та єдиного внеску на загальнообов’язкове державне соціальне страхування, установ, організацій усіх форм власності, об’єднань громадян, по суті поставлених питань, у </w:t>
            </w:r>
            <w:proofErr w:type="spellStart"/>
            <w:r w:rsidRPr="00A7183F">
              <w:rPr>
                <w:sz w:val="24"/>
                <w:szCs w:val="24"/>
              </w:rPr>
              <w:t>т.ч</w:t>
            </w:r>
            <w:proofErr w:type="spellEnd"/>
            <w:r w:rsidRPr="00A7183F">
              <w:rPr>
                <w:sz w:val="24"/>
                <w:szCs w:val="24"/>
              </w:rPr>
              <w:t>. на правомірність дій посадових осіб</w:t>
            </w:r>
          </w:p>
          <w:p w14:paraId="6DCF9142" w14:textId="1B55EC39" w:rsidR="00A7183F" w:rsidRPr="00A7183F" w:rsidRDefault="00A7183F" w:rsidP="007F1810">
            <w:pPr>
              <w:spacing w:line="240" w:lineRule="auto"/>
              <w:ind w:firstLine="0"/>
              <w:rPr>
                <w:sz w:val="24"/>
                <w:szCs w:val="24"/>
              </w:rPr>
            </w:pPr>
            <w:r w:rsidRPr="00A7183F">
              <w:rPr>
                <w:sz w:val="24"/>
                <w:szCs w:val="24"/>
              </w:rPr>
              <w:t>-</w:t>
            </w:r>
            <w:r>
              <w:rPr>
                <w:sz w:val="24"/>
                <w:szCs w:val="24"/>
              </w:rPr>
              <w:t>п</w:t>
            </w:r>
            <w:r w:rsidRPr="00A7183F">
              <w:rPr>
                <w:sz w:val="24"/>
                <w:szCs w:val="24"/>
              </w:rPr>
              <w:t>ідготовка за дорученням керівництва ГУ аналітичних та інформаційних матеріалів у межах компетенції</w:t>
            </w:r>
          </w:p>
          <w:p w14:paraId="584BD98B" w14:textId="13136A5A" w:rsidR="00A7183F" w:rsidRPr="00A7183F" w:rsidRDefault="00A7183F" w:rsidP="007F1810">
            <w:pPr>
              <w:spacing w:line="240" w:lineRule="auto"/>
              <w:ind w:firstLine="0"/>
              <w:rPr>
                <w:sz w:val="24"/>
                <w:szCs w:val="24"/>
              </w:rPr>
            </w:pPr>
            <w:r w:rsidRPr="00A7183F">
              <w:rPr>
                <w:sz w:val="24"/>
                <w:szCs w:val="24"/>
              </w:rPr>
              <w:t>-</w:t>
            </w:r>
            <w:r>
              <w:rPr>
                <w:sz w:val="24"/>
                <w:szCs w:val="24"/>
              </w:rPr>
              <w:t>н</w:t>
            </w:r>
            <w:r w:rsidRPr="00A7183F">
              <w:rPr>
                <w:sz w:val="24"/>
                <w:szCs w:val="24"/>
              </w:rPr>
              <w:t>адання необхідної інформації за результатами роботи структурного підрозділу для підготовки інформаційно-аналітичних матеріалів на засідання Колегії ГУ та проекту Рішення Колегії</w:t>
            </w:r>
          </w:p>
          <w:p w14:paraId="74159A21" w14:textId="3E257D6A" w:rsidR="00A7183F" w:rsidRPr="00A7183F" w:rsidRDefault="00A7183F" w:rsidP="007F1810">
            <w:pPr>
              <w:spacing w:line="240" w:lineRule="auto"/>
              <w:ind w:firstLine="0"/>
              <w:rPr>
                <w:sz w:val="24"/>
                <w:szCs w:val="24"/>
              </w:rPr>
            </w:pPr>
            <w:r w:rsidRPr="00A7183F">
              <w:rPr>
                <w:sz w:val="24"/>
                <w:szCs w:val="24"/>
              </w:rPr>
              <w:t>-</w:t>
            </w:r>
            <w:r>
              <w:rPr>
                <w:sz w:val="24"/>
                <w:szCs w:val="24"/>
              </w:rPr>
              <w:t>в</w:t>
            </w:r>
            <w:r w:rsidRPr="00A7183F">
              <w:rPr>
                <w:sz w:val="24"/>
                <w:szCs w:val="24"/>
              </w:rPr>
              <w:t>едення реєстрації, обліку, зберігання та використання документів з грифом „ДСК”</w:t>
            </w:r>
          </w:p>
          <w:p w14:paraId="4BC27B26" w14:textId="715BF955" w:rsidR="00A7183F" w:rsidRPr="00A7183F" w:rsidRDefault="00A7183F" w:rsidP="007F1810">
            <w:pPr>
              <w:spacing w:line="240" w:lineRule="auto"/>
              <w:ind w:firstLine="0"/>
              <w:rPr>
                <w:sz w:val="24"/>
                <w:szCs w:val="24"/>
              </w:rPr>
            </w:pPr>
            <w:r w:rsidRPr="00A7183F">
              <w:rPr>
                <w:sz w:val="24"/>
                <w:szCs w:val="24"/>
              </w:rPr>
              <w:t>-</w:t>
            </w:r>
            <w:r>
              <w:rPr>
                <w:sz w:val="24"/>
                <w:szCs w:val="24"/>
              </w:rPr>
              <w:t>в</w:t>
            </w:r>
            <w:r w:rsidRPr="00A7183F">
              <w:rPr>
                <w:sz w:val="24"/>
                <w:szCs w:val="24"/>
              </w:rPr>
              <w:t>едення обліку документів, забезпечення їх зберігання, оперативного пошуку, доставки та надання інформації щодо них</w:t>
            </w:r>
          </w:p>
          <w:p w14:paraId="4C0C0088" w14:textId="739D2BB8" w:rsidR="00A7183F" w:rsidRPr="00A7183F" w:rsidRDefault="00A7183F" w:rsidP="007F1810">
            <w:pPr>
              <w:spacing w:line="240" w:lineRule="auto"/>
              <w:ind w:firstLine="0"/>
              <w:rPr>
                <w:sz w:val="24"/>
                <w:szCs w:val="24"/>
              </w:rPr>
            </w:pPr>
            <w:r w:rsidRPr="00A7183F">
              <w:rPr>
                <w:sz w:val="24"/>
                <w:szCs w:val="24"/>
              </w:rPr>
              <w:t>-</w:t>
            </w:r>
            <w:r>
              <w:rPr>
                <w:sz w:val="24"/>
                <w:szCs w:val="24"/>
              </w:rPr>
              <w:t>п</w:t>
            </w:r>
            <w:r w:rsidRPr="00A7183F">
              <w:rPr>
                <w:sz w:val="24"/>
                <w:szCs w:val="24"/>
              </w:rPr>
              <w:t>роведення аналітичної, перевірочної роботи, спрямованої на відпрацювання фактів переміщення товарів, готівки, фінансових інструментів, дорогоцінних металів, дорогоцінного каміння та виробів з них, а також культурних цінностей через митний кордон України з порушенням законодавства України та з метою легалізації доходів, одержаних злочинним шляхом</w:t>
            </w:r>
          </w:p>
          <w:p w14:paraId="6E3AAAFB" w14:textId="616AD7A0" w:rsidR="00A7183F" w:rsidRPr="00A7183F" w:rsidRDefault="00A7183F" w:rsidP="007F1810">
            <w:pPr>
              <w:spacing w:line="240" w:lineRule="auto"/>
              <w:ind w:firstLine="0"/>
              <w:rPr>
                <w:sz w:val="24"/>
                <w:szCs w:val="24"/>
              </w:rPr>
            </w:pPr>
            <w:r w:rsidRPr="00A7183F">
              <w:rPr>
                <w:sz w:val="24"/>
                <w:szCs w:val="24"/>
              </w:rPr>
              <w:t>-</w:t>
            </w:r>
            <w:r>
              <w:rPr>
                <w:sz w:val="24"/>
                <w:szCs w:val="24"/>
              </w:rPr>
              <w:t>п</w:t>
            </w:r>
            <w:r w:rsidRPr="00A7183F">
              <w:rPr>
                <w:sz w:val="24"/>
                <w:szCs w:val="24"/>
              </w:rPr>
              <w:t>роведення аналітичної, перевірочної роботи, спрямованої на відпрацювання фактів переміщення товарів, готівки, фінансових інструментів, дорогоцінних металів, дорогоцінного каміння та виробів з них, а також культурних цінностей через митний кордон України з порушенням законодавства України та з метою легалізації доходів, одержаних злочинним шляхом</w:t>
            </w:r>
          </w:p>
          <w:p w14:paraId="4BDE6044" w14:textId="35DE4744" w:rsidR="00A7183F" w:rsidRPr="00804122" w:rsidRDefault="00A7183F" w:rsidP="00A7183F">
            <w:pPr>
              <w:spacing w:line="240" w:lineRule="auto"/>
              <w:ind w:firstLine="0"/>
              <w:rPr>
                <w:sz w:val="24"/>
                <w:szCs w:val="24"/>
              </w:rPr>
            </w:pPr>
            <w:r w:rsidRPr="00A7183F">
              <w:rPr>
                <w:sz w:val="24"/>
                <w:szCs w:val="24"/>
              </w:rPr>
              <w:t>-</w:t>
            </w:r>
            <w:r>
              <w:rPr>
                <w:sz w:val="24"/>
                <w:szCs w:val="24"/>
              </w:rPr>
              <w:t>п</w:t>
            </w:r>
            <w:r w:rsidRPr="00A7183F">
              <w:rPr>
                <w:sz w:val="24"/>
                <w:szCs w:val="24"/>
              </w:rPr>
              <w:t>роведення аналізу фінансово-господарської діяльності осіб на предмет наявності ознак правопорушень, пов’язаних з легалізацією (відмиванням) доходів, одержаних злочинним шляхом, та інших правопорушень</w:t>
            </w: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t>Умови оплати праці</w:t>
            </w:r>
          </w:p>
        </w:tc>
        <w:tc>
          <w:tcPr>
            <w:tcW w:w="6946" w:type="dxa"/>
            <w:vAlign w:val="center"/>
          </w:tcPr>
          <w:p w14:paraId="23D45DB4" w14:textId="3A57E4EA"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A7183F">
              <w:rPr>
                <w:sz w:val="24"/>
                <w:szCs w:val="24"/>
              </w:rPr>
              <w:t>7050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lastRenderedPageBreak/>
              <w:t>коронавірусом</w:t>
            </w:r>
            <w:proofErr w:type="spellEnd"/>
            <w:r w:rsidRPr="003851E7">
              <w:rPr>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lastRenderedPageBreak/>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репутації (характеристики, рекомендації, наукові публікації тощо).</w:t>
            </w:r>
          </w:p>
          <w:p w14:paraId="5B4C0022" w14:textId="0F180569" w:rsidR="00A619EB" w:rsidRPr="000136F2" w:rsidRDefault="00A619EB" w:rsidP="00A619EB">
            <w:pPr>
              <w:pStyle w:val="a4"/>
              <w:spacing w:before="0" w:line="240" w:lineRule="auto"/>
              <w:ind w:firstLine="0"/>
              <w:rPr>
                <w:sz w:val="24"/>
                <w:szCs w:val="24"/>
              </w:rPr>
            </w:pPr>
            <w:r w:rsidRPr="000136F2">
              <w:rPr>
                <w:sz w:val="24"/>
                <w:szCs w:val="24"/>
              </w:rPr>
              <w:t xml:space="preserve">Інформація приймається до </w:t>
            </w:r>
            <w:r w:rsidR="00117479">
              <w:rPr>
                <w:sz w:val="24"/>
                <w:szCs w:val="24"/>
              </w:rPr>
              <w:t>17год. 00хв до 22</w:t>
            </w:r>
            <w:r w:rsidRPr="000136F2">
              <w:rPr>
                <w:sz w:val="24"/>
                <w:szCs w:val="24"/>
              </w:rPr>
              <w:t xml:space="preserve"> вересня 2020 року включно.</w:t>
            </w:r>
          </w:p>
          <w:p w14:paraId="40E6BC9D" w14:textId="135B4924" w:rsidR="002F1096" w:rsidRPr="003851E7" w:rsidRDefault="00A619EB" w:rsidP="00EE6DAA">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Головн</w:t>
            </w:r>
            <w:r w:rsidR="00EE6DAA">
              <w:rPr>
                <w:sz w:val="24"/>
                <w:szCs w:val="24"/>
              </w:rPr>
              <w:t>ого</w:t>
            </w:r>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1E4DBB28" w:rsidR="00131B14" w:rsidRPr="004353BA" w:rsidRDefault="004353BA" w:rsidP="006721F1">
            <w:pPr>
              <w:ind w:firstLine="0"/>
              <w:rPr>
                <w:color w:val="000000" w:themeColor="text1"/>
                <w:sz w:val="24"/>
                <w:szCs w:val="24"/>
              </w:rPr>
            </w:pPr>
            <w:r w:rsidRPr="006721F1">
              <w:rPr>
                <w:color w:val="000000" w:themeColor="text1"/>
                <w:sz w:val="24"/>
                <w:szCs w:val="24"/>
              </w:rPr>
              <w:t>Вища за освіт</w:t>
            </w:r>
            <w:r w:rsidR="006721F1" w:rsidRPr="006721F1">
              <w:rPr>
                <w:color w:val="000000" w:themeColor="text1"/>
                <w:sz w:val="24"/>
                <w:szCs w:val="24"/>
              </w:rPr>
              <w:t xml:space="preserve">нім ступенем не нижче магістра, </w:t>
            </w:r>
            <w:r w:rsidR="00CC340D" w:rsidRPr="00CC340D">
              <w:rPr>
                <w:color w:val="000000" w:themeColor="text1"/>
                <w:sz w:val="24"/>
                <w:szCs w:val="24"/>
              </w:rPr>
              <w:t xml:space="preserve">за фахом, бажано, </w:t>
            </w:r>
            <w:r w:rsidRPr="006721F1">
              <w:rPr>
                <w:color w:val="000000" w:themeColor="text1"/>
                <w:sz w:val="24"/>
                <w:szCs w:val="24"/>
              </w:rPr>
              <w:t xml:space="preserve">економічного </w:t>
            </w:r>
            <w:r w:rsidR="006721F1" w:rsidRPr="006721F1">
              <w:rPr>
                <w:color w:val="000000" w:themeColor="text1"/>
                <w:sz w:val="24"/>
                <w:szCs w:val="24"/>
              </w:rPr>
              <w:t>та юридичного спрямува</w:t>
            </w:r>
            <w:bookmarkStart w:id="0" w:name="_GoBack"/>
            <w:bookmarkEnd w:id="0"/>
            <w:r w:rsidR="006721F1" w:rsidRPr="006721F1">
              <w:rPr>
                <w:color w:val="000000" w:themeColor="text1"/>
                <w:sz w:val="24"/>
                <w:szCs w:val="24"/>
              </w:rPr>
              <w:t>ння</w:t>
            </w:r>
            <w:r w:rsidR="00EE6DAA" w:rsidRPr="006721F1">
              <w:rPr>
                <w:color w:val="000000" w:themeColor="text1"/>
                <w:sz w:val="24"/>
                <w:szCs w:val="24"/>
              </w:rPr>
              <w:t>.</w:t>
            </w:r>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158E6271" w:rsidR="00131B14" w:rsidRPr="00264C11" w:rsidRDefault="00264C11" w:rsidP="005E2605">
            <w:pPr>
              <w:spacing w:line="240" w:lineRule="auto"/>
              <w:ind w:left="28" w:firstLine="0"/>
              <w:rPr>
                <w:sz w:val="24"/>
                <w:szCs w:val="24"/>
              </w:rPr>
            </w:pPr>
            <w:r w:rsidRPr="00264C11">
              <w:rPr>
                <w:sz w:val="24"/>
                <w:szCs w:val="24"/>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1D3C5" w14:textId="77777777" w:rsidR="00905FAF" w:rsidRDefault="00905FAF">
      <w:r>
        <w:separator/>
      </w:r>
    </w:p>
  </w:endnote>
  <w:endnote w:type="continuationSeparator" w:id="0">
    <w:p w14:paraId="26410D95" w14:textId="77777777" w:rsidR="00905FAF" w:rsidRDefault="0090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F28A" w14:textId="77777777" w:rsidR="00905FAF" w:rsidRDefault="00905FAF">
      <w:r>
        <w:separator/>
      </w:r>
    </w:p>
  </w:footnote>
  <w:footnote w:type="continuationSeparator" w:id="0">
    <w:p w14:paraId="4DD47261" w14:textId="77777777" w:rsidR="00905FAF" w:rsidRDefault="0090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CC340D">
      <w:rPr>
        <w:noProof/>
        <w:sz w:val="20"/>
      </w:rPr>
      <w:t>2</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85A40"/>
    <w:rsid w:val="000962C4"/>
    <w:rsid w:val="000D3DB5"/>
    <w:rsid w:val="000D6CEF"/>
    <w:rsid w:val="000E5AB4"/>
    <w:rsid w:val="00100E7D"/>
    <w:rsid w:val="00103D86"/>
    <w:rsid w:val="00117479"/>
    <w:rsid w:val="00120DC1"/>
    <w:rsid w:val="001242FE"/>
    <w:rsid w:val="00131B14"/>
    <w:rsid w:val="00134584"/>
    <w:rsid w:val="00146DAA"/>
    <w:rsid w:val="00167604"/>
    <w:rsid w:val="001A5FC5"/>
    <w:rsid w:val="001A6F60"/>
    <w:rsid w:val="001D7162"/>
    <w:rsid w:val="001E3E40"/>
    <w:rsid w:val="00210F96"/>
    <w:rsid w:val="00212A48"/>
    <w:rsid w:val="00222321"/>
    <w:rsid w:val="00244D26"/>
    <w:rsid w:val="00247D91"/>
    <w:rsid w:val="002648FB"/>
    <w:rsid w:val="00264C11"/>
    <w:rsid w:val="00271C4B"/>
    <w:rsid w:val="00274306"/>
    <w:rsid w:val="002837E3"/>
    <w:rsid w:val="002A798F"/>
    <w:rsid w:val="002B769A"/>
    <w:rsid w:val="002F1096"/>
    <w:rsid w:val="003154CA"/>
    <w:rsid w:val="003311DA"/>
    <w:rsid w:val="003335EB"/>
    <w:rsid w:val="00356351"/>
    <w:rsid w:val="00356B12"/>
    <w:rsid w:val="003644A6"/>
    <w:rsid w:val="0037378F"/>
    <w:rsid w:val="0037703F"/>
    <w:rsid w:val="00382CF8"/>
    <w:rsid w:val="003851E7"/>
    <w:rsid w:val="003A61D8"/>
    <w:rsid w:val="003B0289"/>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46C7"/>
    <w:rsid w:val="00481AEE"/>
    <w:rsid w:val="004C6662"/>
    <w:rsid w:val="004C74ED"/>
    <w:rsid w:val="004E0A60"/>
    <w:rsid w:val="004F53B9"/>
    <w:rsid w:val="005061A7"/>
    <w:rsid w:val="00534E0D"/>
    <w:rsid w:val="005352CD"/>
    <w:rsid w:val="005372EC"/>
    <w:rsid w:val="00540E06"/>
    <w:rsid w:val="00542000"/>
    <w:rsid w:val="0055164A"/>
    <w:rsid w:val="005522DB"/>
    <w:rsid w:val="005571FA"/>
    <w:rsid w:val="005624A5"/>
    <w:rsid w:val="00567F19"/>
    <w:rsid w:val="005A6331"/>
    <w:rsid w:val="005B291D"/>
    <w:rsid w:val="005B5299"/>
    <w:rsid w:val="005B66C3"/>
    <w:rsid w:val="005C0D08"/>
    <w:rsid w:val="005E1DBF"/>
    <w:rsid w:val="005E2605"/>
    <w:rsid w:val="005E4A1B"/>
    <w:rsid w:val="005E62ED"/>
    <w:rsid w:val="00601239"/>
    <w:rsid w:val="00615CC1"/>
    <w:rsid w:val="00620A91"/>
    <w:rsid w:val="006721F1"/>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536A"/>
    <w:rsid w:val="00775FF3"/>
    <w:rsid w:val="00793E13"/>
    <w:rsid w:val="00794F18"/>
    <w:rsid w:val="007C3A9D"/>
    <w:rsid w:val="007F1810"/>
    <w:rsid w:val="00804122"/>
    <w:rsid w:val="0081423A"/>
    <w:rsid w:val="008212A8"/>
    <w:rsid w:val="0082647B"/>
    <w:rsid w:val="00827ED7"/>
    <w:rsid w:val="0086158D"/>
    <w:rsid w:val="00870FAA"/>
    <w:rsid w:val="00874331"/>
    <w:rsid w:val="008A04B6"/>
    <w:rsid w:val="008A409E"/>
    <w:rsid w:val="008A7A9B"/>
    <w:rsid w:val="008E29C6"/>
    <w:rsid w:val="008F2A61"/>
    <w:rsid w:val="008F2DB0"/>
    <w:rsid w:val="00905FAF"/>
    <w:rsid w:val="0091081C"/>
    <w:rsid w:val="009143ED"/>
    <w:rsid w:val="009220B0"/>
    <w:rsid w:val="00947AF5"/>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3571A"/>
    <w:rsid w:val="00A5768B"/>
    <w:rsid w:val="00A619EB"/>
    <w:rsid w:val="00A70B75"/>
    <w:rsid w:val="00A7183F"/>
    <w:rsid w:val="00A71DA4"/>
    <w:rsid w:val="00A769A8"/>
    <w:rsid w:val="00A90676"/>
    <w:rsid w:val="00A909D7"/>
    <w:rsid w:val="00AB2009"/>
    <w:rsid w:val="00AB2632"/>
    <w:rsid w:val="00AC641E"/>
    <w:rsid w:val="00AD4B4A"/>
    <w:rsid w:val="00AE6A40"/>
    <w:rsid w:val="00B0208E"/>
    <w:rsid w:val="00B02B0C"/>
    <w:rsid w:val="00B038C5"/>
    <w:rsid w:val="00B12C52"/>
    <w:rsid w:val="00B17267"/>
    <w:rsid w:val="00B4510B"/>
    <w:rsid w:val="00B53D04"/>
    <w:rsid w:val="00B54B9D"/>
    <w:rsid w:val="00B55B8F"/>
    <w:rsid w:val="00B575B7"/>
    <w:rsid w:val="00B612BE"/>
    <w:rsid w:val="00B6513A"/>
    <w:rsid w:val="00B67A64"/>
    <w:rsid w:val="00B87A66"/>
    <w:rsid w:val="00BA53A4"/>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40D"/>
    <w:rsid w:val="00CC3629"/>
    <w:rsid w:val="00CE42D8"/>
    <w:rsid w:val="00CE568C"/>
    <w:rsid w:val="00CF2D77"/>
    <w:rsid w:val="00D418F3"/>
    <w:rsid w:val="00D4377F"/>
    <w:rsid w:val="00D44F3F"/>
    <w:rsid w:val="00D53C9C"/>
    <w:rsid w:val="00DB0AE3"/>
    <w:rsid w:val="00DB261D"/>
    <w:rsid w:val="00DC4BCF"/>
    <w:rsid w:val="00DC64C3"/>
    <w:rsid w:val="00DD2BF3"/>
    <w:rsid w:val="00DD34A7"/>
    <w:rsid w:val="00DF1CD8"/>
    <w:rsid w:val="00E0117A"/>
    <w:rsid w:val="00E111B5"/>
    <w:rsid w:val="00E3408A"/>
    <w:rsid w:val="00E77DC6"/>
    <w:rsid w:val="00E85B65"/>
    <w:rsid w:val="00E87D97"/>
    <w:rsid w:val="00E9152B"/>
    <w:rsid w:val="00EA5076"/>
    <w:rsid w:val="00EB1550"/>
    <w:rsid w:val="00EB7F15"/>
    <w:rsid w:val="00EE0C98"/>
    <w:rsid w:val="00EE6DAA"/>
    <w:rsid w:val="00EF46DE"/>
    <w:rsid w:val="00F33625"/>
    <w:rsid w:val="00F411F7"/>
    <w:rsid w:val="00F81292"/>
    <w:rsid w:val="00F82B47"/>
    <w:rsid w:val="00FA0C31"/>
    <w:rsid w:val="00FA552B"/>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3301</Words>
  <Characters>1883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29</cp:revision>
  <cp:lastPrinted>2020-09-03T11:23:00Z</cp:lastPrinted>
  <dcterms:created xsi:type="dcterms:W3CDTF">2020-06-17T12:06:00Z</dcterms:created>
  <dcterms:modified xsi:type="dcterms:W3CDTF">2020-09-18T11:32:00Z</dcterms:modified>
</cp:coreProperties>
</file>